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2519B" w14:textId="0B731047" w:rsidR="006C4B01" w:rsidRPr="00F82DB3" w:rsidRDefault="00BD4672" w:rsidP="0026575A">
      <w:pPr>
        <w:spacing w:after="0" w:line="259" w:lineRule="auto"/>
        <w:ind w:left="132" w:right="0" w:firstLine="0"/>
        <w:jc w:val="center"/>
        <w:rPr>
          <w:color w:val="428D96"/>
        </w:rPr>
      </w:pPr>
      <w:r>
        <w:rPr>
          <w:b/>
          <w:color w:val="428D96"/>
          <w:sz w:val="28"/>
        </w:rPr>
        <w:t xml:space="preserve">VZOROVÝ </w:t>
      </w:r>
      <w:r w:rsidR="005237DA" w:rsidRPr="00F82DB3">
        <w:rPr>
          <w:b/>
          <w:color w:val="428D96"/>
          <w:sz w:val="28"/>
        </w:rPr>
        <w:t>STATUT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A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JEDNACÍ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ŘÁD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MEZINÁRODNÍHO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EVALUAČNÍHO</w:t>
      </w:r>
      <w:r w:rsidR="005237DA" w:rsidRPr="00F82DB3">
        <w:rPr>
          <w:b/>
          <w:color w:val="428D96"/>
        </w:rPr>
        <w:t xml:space="preserve"> </w:t>
      </w:r>
      <w:r w:rsidR="005237DA" w:rsidRPr="00F82DB3">
        <w:rPr>
          <w:b/>
          <w:color w:val="428D96"/>
          <w:sz w:val="28"/>
        </w:rPr>
        <w:t>PANELU</w:t>
      </w:r>
    </w:p>
    <w:p w14:paraId="349E9A96" w14:textId="19CF391C" w:rsidR="006C4B01" w:rsidRDefault="006C4B01" w:rsidP="00BE6275">
      <w:pPr>
        <w:spacing w:after="19" w:line="259" w:lineRule="auto"/>
        <w:ind w:left="0" w:right="0" w:firstLine="0"/>
      </w:pPr>
    </w:p>
    <w:p w14:paraId="439D33AD" w14:textId="77777777" w:rsidR="006C4B01" w:rsidRDefault="005237DA" w:rsidP="0026575A">
      <w:pPr>
        <w:pStyle w:val="Nadpis1"/>
      </w:pPr>
      <w:r>
        <w:t xml:space="preserve">ČÁST PRVNÍ </w:t>
      </w:r>
    </w:p>
    <w:p w14:paraId="00D43CC2" w14:textId="77777777" w:rsidR="006C4B01" w:rsidRDefault="005237DA" w:rsidP="0026575A">
      <w:pPr>
        <w:pStyle w:val="Nadpis2"/>
      </w:pPr>
      <w:r>
        <w:t xml:space="preserve">Úvodní ustanovení </w:t>
      </w:r>
    </w:p>
    <w:p w14:paraId="692B87D6" w14:textId="77777777" w:rsidR="006C4B01" w:rsidRDefault="005237DA" w:rsidP="0026575A">
      <w:pPr>
        <w:spacing w:after="17" w:line="259" w:lineRule="auto"/>
        <w:jc w:val="center"/>
      </w:pPr>
      <w:r>
        <w:t xml:space="preserve">Článek 1 </w:t>
      </w:r>
    </w:p>
    <w:p w14:paraId="460700C6" w14:textId="77777777" w:rsidR="006C4B01" w:rsidRDefault="005237DA" w:rsidP="0026575A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15B57DAE" w14:textId="6F34B580" w:rsidR="006C4B01" w:rsidRDefault="005237DA" w:rsidP="0026575A">
      <w:pPr>
        <w:ind w:left="-5" w:right="0"/>
      </w:pPr>
      <w:r>
        <w:t xml:space="preserve">Mezinárodní evaluační panel se zřizuje za účelem hodnocení v segmentu vysokých škol v souladu </w:t>
      </w:r>
      <w:r w:rsidR="00F82DB3">
        <w:br/>
      </w:r>
      <w:r>
        <w:t>s Metodik</w:t>
      </w:r>
      <w:r w:rsidR="00F81AAB">
        <w:t>o</w:t>
      </w:r>
      <w:r>
        <w:t>u hodnocení výzkumných organizací schválenou Vládou České republiky</w:t>
      </w:r>
      <w:r w:rsidDel="005237DA">
        <w:t xml:space="preserve"> </w:t>
      </w:r>
      <w:r>
        <w:t xml:space="preserve">podle jednotného postupu platného pro segment vysokých škol, kterým je dokument Metodika hodnocení výzkumných organizací v segmentu vysokých škol 2025+ (dále jen „Metodika VŠ2025+“). </w:t>
      </w:r>
    </w:p>
    <w:p w14:paraId="6EA33634" w14:textId="77777777" w:rsidR="006C4B01" w:rsidRDefault="005237DA" w:rsidP="0026575A">
      <w:pPr>
        <w:spacing w:after="19" w:line="259" w:lineRule="auto"/>
        <w:ind w:left="46" w:right="0" w:firstLine="0"/>
        <w:jc w:val="center"/>
      </w:pPr>
      <w:r>
        <w:t xml:space="preserve"> </w:t>
      </w:r>
    </w:p>
    <w:p w14:paraId="0663595D" w14:textId="77777777" w:rsidR="006C4B01" w:rsidRDefault="005237DA" w:rsidP="0026575A">
      <w:pPr>
        <w:pStyle w:val="Nadpis1"/>
        <w:ind w:right="2"/>
      </w:pPr>
      <w:r>
        <w:t xml:space="preserve">ČÁST DRUHÁ </w:t>
      </w:r>
    </w:p>
    <w:p w14:paraId="2C67EAA0" w14:textId="720A7302" w:rsidR="006C4B01" w:rsidRDefault="005237DA" w:rsidP="0026575A">
      <w:pPr>
        <w:pStyle w:val="Nadpis2"/>
        <w:ind w:right="4"/>
      </w:pPr>
      <w:r>
        <w:t xml:space="preserve">Statut </w:t>
      </w:r>
      <w:r w:rsidR="00231E25">
        <w:t xml:space="preserve">Mezinárodního </w:t>
      </w:r>
      <w:r>
        <w:t xml:space="preserve">evaluačního panelu </w:t>
      </w:r>
    </w:p>
    <w:p w14:paraId="29A0CB8D" w14:textId="77777777" w:rsidR="006C4B01" w:rsidRDefault="005237DA" w:rsidP="0026575A">
      <w:pPr>
        <w:spacing w:after="17" w:line="259" w:lineRule="auto"/>
        <w:jc w:val="center"/>
      </w:pPr>
      <w:r>
        <w:t xml:space="preserve">Článek 2 </w:t>
      </w:r>
    </w:p>
    <w:p w14:paraId="18ADA862" w14:textId="77777777" w:rsidR="006C4B01" w:rsidRDefault="005237DA" w:rsidP="0026575A">
      <w:pPr>
        <w:pStyle w:val="Nadpis3"/>
        <w:ind w:right="4"/>
      </w:pPr>
      <w:r>
        <w:t xml:space="preserve">Předmět činnosti Mezinárodního evaluačního panelu </w:t>
      </w:r>
    </w:p>
    <w:p w14:paraId="59216801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719FD53D" w14:textId="5C3CEB9F" w:rsidR="006C4B01" w:rsidRDefault="005237DA" w:rsidP="0026575A">
      <w:pPr>
        <w:numPr>
          <w:ilvl w:val="0"/>
          <w:numId w:val="1"/>
        </w:numPr>
        <w:ind w:right="0" w:hanging="290"/>
      </w:pPr>
      <w:r>
        <w:t xml:space="preserve">Mezinárodní evaluační panel (dále též „MEP“ nebo „panel“) hodnotí </w:t>
      </w:r>
      <w:proofErr w:type="spellStart"/>
      <w:r w:rsidR="00144D91">
        <w:t>S</w:t>
      </w:r>
      <w:r>
        <w:t>ebeevaluační</w:t>
      </w:r>
      <w:proofErr w:type="spellEnd"/>
      <w:r>
        <w:t xml:space="preserve"> zprávu vysoké školy </w:t>
      </w:r>
      <w:r w:rsidR="008820F6">
        <w:t xml:space="preserve">a další podklady </w:t>
      </w:r>
      <w:r>
        <w:t>předložen</w:t>
      </w:r>
      <w:r w:rsidR="008820F6">
        <w:t>é</w:t>
      </w:r>
      <w:r>
        <w:t xml:space="preserve"> v souladu s </w:t>
      </w:r>
      <w:r w:rsidR="008820F6">
        <w:t>Metodikou VŠ2025+</w:t>
      </w:r>
      <w:r w:rsidR="00F81AAB">
        <w:t xml:space="preserve">, popř. </w:t>
      </w:r>
      <w:r>
        <w:t>další podklady vyžádané jím nebo poskytovatelem institucionální podpory na dlouhodobý koncepční rozvoj vysokých škol</w:t>
      </w:r>
      <w:r w:rsidR="008820F6">
        <w:t xml:space="preserve"> (dále jen „poskytovatel</w:t>
      </w:r>
      <w:r w:rsidR="00FE0ECF">
        <w:t>em</w:t>
      </w:r>
      <w:r w:rsidR="008820F6">
        <w:t>“)</w:t>
      </w:r>
      <w:r>
        <w:t xml:space="preserve">. </w:t>
      </w:r>
    </w:p>
    <w:p w14:paraId="1BC46E10" w14:textId="28282986" w:rsidR="006C4B01" w:rsidRDefault="005237DA" w:rsidP="0026575A">
      <w:pPr>
        <w:numPr>
          <w:ilvl w:val="0"/>
          <w:numId w:val="1"/>
        </w:numPr>
        <w:ind w:right="0" w:hanging="290"/>
      </w:pPr>
      <w:r>
        <w:t xml:space="preserve">MEP zajišťuje objektivní a nezaujaté hodnocení </w:t>
      </w:r>
      <w:proofErr w:type="spellStart"/>
      <w:r w:rsidR="00144D91">
        <w:t>S</w:t>
      </w:r>
      <w:r>
        <w:t>ebeevaluační</w:t>
      </w:r>
      <w:proofErr w:type="spellEnd"/>
      <w:r>
        <w:t xml:space="preserve"> zprávy a dalších předložených podkladů. </w:t>
      </w:r>
    </w:p>
    <w:p w14:paraId="59BF1AAD" w14:textId="1EDCE633" w:rsidR="006C4B01" w:rsidRDefault="005237DA" w:rsidP="0026575A">
      <w:pPr>
        <w:numPr>
          <w:ilvl w:val="0"/>
          <w:numId w:val="1"/>
        </w:numPr>
        <w:ind w:right="0" w:hanging="290"/>
      </w:pPr>
      <w:r>
        <w:t xml:space="preserve">MEP se na vyžádání </w:t>
      </w:r>
      <w:r w:rsidR="008820F6">
        <w:t>poskytovatele</w:t>
      </w:r>
      <w:r>
        <w:t xml:space="preserve"> vyjadřuje k otázkám, které vyvstanou v průběhu hodnocení.  </w:t>
      </w:r>
    </w:p>
    <w:p w14:paraId="136F47E6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F260F5C" w14:textId="77777777" w:rsidR="006C4B01" w:rsidRDefault="005237DA" w:rsidP="0026575A">
      <w:pPr>
        <w:spacing w:after="17" w:line="259" w:lineRule="auto"/>
        <w:jc w:val="center"/>
      </w:pPr>
      <w:r>
        <w:t xml:space="preserve">Článek 3 </w:t>
      </w:r>
    </w:p>
    <w:p w14:paraId="6227F6DD" w14:textId="1DA5CD96" w:rsidR="006C4B01" w:rsidRDefault="005237DA" w:rsidP="0026575A">
      <w:pPr>
        <w:pStyle w:val="Nadpis3"/>
        <w:ind w:right="7"/>
      </w:pPr>
      <w:r>
        <w:t xml:space="preserve">Složení </w:t>
      </w:r>
      <w:r w:rsidR="00231E25">
        <w:t xml:space="preserve">Mezinárodního </w:t>
      </w:r>
      <w:r>
        <w:t xml:space="preserve">evaluačního panelu </w:t>
      </w:r>
    </w:p>
    <w:p w14:paraId="32367033" w14:textId="77777777" w:rsidR="006C4B01" w:rsidRDefault="005237DA" w:rsidP="0026575A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4645E4FA" w14:textId="2F56513D" w:rsidR="00582111" w:rsidRPr="00A93418" w:rsidRDefault="00582111" w:rsidP="0026575A">
      <w:pPr>
        <w:numPr>
          <w:ilvl w:val="0"/>
          <w:numId w:val="2"/>
        </w:numPr>
        <w:ind w:right="0" w:hanging="297"/>
        <w:rPr>
          <w:rFonts w:asciiTheme="minorHAnsi" w:hAnsiTheme="minorHAnsi" w:cstheme="minorHAnsi"/>
        </w:rPr>
      </w:pPr>
      <w:r w:rsidRPr="00A93418">
        <w:rPr>
          <w:rFonts w:asciiTheme="minorHAnsi" w:hAnsiTheme="minorHAnsi" w:cstheme="minorHAnsi"/>
        </w:rPr>
        <w:t xml:space="preserve">MEP </w:t>
      </w:r>
      <w:r>
        <w:rPr>
          <w:rFonts w:asciiTheme="minorHAnsi" w:hAnsiTheme="minorHAnsi" w:cstheme="minorHAnsi"/>
        </w:rPr>
        <w:t>se skládá z</w:t>
      </w:r>
      <w:r w:rsidR="00400268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předsedy</w:t>
      </w:r>
      <w:r w:rsidR="00400268">
        <w:rPr>
          <w:rFonts w:asciiTheme="minorHAnsi" w:hAnsiTheme="minorHAnsi" w:cstheme="minorHAnsi"/>
        </w:rPr>
        <w:t xml:space="preserve"> a</w:t>
      </w:r>
      <w:r w:rsidRPr="00A93418">
        <w:rPr>
          <w:rFonts w:asciiTheme="minorHAnsi" w:hAnsiTheme="minorHAnsi" w:cstheme="minorHAnsi"/>
        </w:rPr>
        <w:t xml:space="preserve"> nejméně šesti </w:t>
      </w:r>
      <w:r>
        <w:rPr>
          <w:rFonts w:asciiTheme="minorHAnsi" w:hAnsiTheme="minorHAnsi" w:cstheme="minorHAnsi"/>
        </w:rPr>
        <w:t>dalších</w:t>
      </w:r>
      <w:r w:rsidRPr="00A93418">
        <w:rPr>
          <w:rFonts w:asciiTheme="minorHAnsi" w:hAnsiTheme="minorHAnsi" w:cstheme="minorHAnsi"/>
        </w:rPr>
        <w:t xml:space="preserve"> člen</w:t>
      </w:r>
      <w:r>
        <w:rPr>
          <w:rFonts w:asciiTheme="minorHAnsi" w:hAnsiTheme="minorHAnsi" w:cstheme="minorHAnsi"/>
        </w:rPr>
        <w:t>ů</w:t>
      </w:r>
      <w:r>
        <w:rPr>
          <w:vertAlign w:val="superscript"/>
        </w:rPr>
        <w:footnoteReference w:id="1"/>
      </w:r>
      <w:r w:rsidRPr="00A93418">
        <w:rPr>
          <w:rFonts w:asciiTheme="minorHAnsi" w:hAnsiTheme="minorHAnsi" w:cstheme="minorHAnsi"/>
        </w:rPr>
        <w:t xml:space="preserve"> </w:t>
      </w:r>
      <w:r w:rsidR="00400268">
        <w:rPr>
          <w:rFonts w:asciiTheme="minorHAnsi" w:hAnsiTheme="minorHAnsi" w:cstheme="minorHAnsi"/>
        </w:rPr>
        <w:t xml:space="preserve">s právem hodnotit a hlasovat </w:t>
      </w:r>
      <w:r w:rsidRPr="00A93418">
        <w:rPr>
          <w:rFonts w:asciiTheme="minorHAnsi" w:hAnsiTheme="minorHAnsi" w:cstheme="minorHAnsi"/>
        </w:rPr>
        <w:t xml:space="preserve">(dále </w:t>
      </w:r>
      <w:r w:rsidR="00400268">
        <w:rPr>
          <w:rFonts w:asciiTheme="minorHAnsi" w:hAnsiTheme="minorHAnsi" w:cstheme="minorHAnsi"/>
        </w:rPr>
        <w:t>jen</w:t>
      </w:r>
      <w:r w:rsidRPr="00A93418">
        <w:rPr>
          <w:rFonts w:asciiTheme="minorHAnsi" w:hAnsiTheme="minorHAnsi" w:cstheme="minorHAnsi"/>
        </w:rPr>
        <w:t xml:space="preserve"> „hodnotící</w:t>
      </w:r>
      <w:r w:rsidR="00400268">
        <w:rPr>
          <w:rFonts w:asciiTheme="minorHAnsi" w:hAnsiTheme="minorHAnsi" w:cstheme="minorHAnsi"/>
        </w:rPr>
        <w:t>ch členů MEP</w:t>
      </w:r>
      <w:r w:rsidRPr="00A93418">
        <w:rPr>
          <w:rFonts w:asciiTheme="minorHAnsi" w:hAnsiTheme="minorHAnsi" w:cstheme="minorHAnsi"/>
        </w:rPr>
        <w:t xml:space="preserve">“), </w:t>
      </w:r>
      <w:r w:rsidR="00400268">
        <w:rPr>
          <w:rFonts w:asciiTheme="minorHAnsi" w:hAnsiTheme="minorHAnsi" w:cstheme="minorHAnsi"/>
        </w:rPr>
        <w:t xml:space="preserve">a dále </w:t>
      </w:r>
      <w:r>
        <w:rPr>
          <w:rFonts w:asciiTheme="minorHAnsi" w:hAnsiTheme="minorHAnsi" w:cstheme="minorHAnsi"/>
        </w:rPr>
        <w:t xml:space="preserve">z </w:t>
      </w:r>
      <w:r w:rsidRPr="00A93418">
        <w:rPr>
          <w:rFonts w:asciiTheme="minorHAnsi" w:hAnsiTheme="minorHAnsi" w:cstheme="minorHAnsi"/>
        </w:rPr>
        <w:t>metodik</w:t>
      </w:r>
      <w:r>
        <w:rPr>
          <w:rFonts w:asciiTheme="minorHAnsi" w:hAnsiTheme="minorHAnsi" w:cstheme="minorHAnsi"/>
        </w:rPr>
        <w:t>a</w:t>
      </w:r>
      <w:r w:rsidRPr="00A93418">
        <w:rPr>
          <w:rFonts w:asciiTheme="minorHAnsi" w:hAnsiTheme="minorHAnsi" w:cstheme="minorHAnsi"/>
        </w:rPr>
        <w:t xml:space="preserve"> poskytovatele</w:t>
      </w:r>
      <w:r w:rsidR="0063405B">
        <w:rPr>
          <w:rFonts w:asciiTheme="minorHAnsi" w:hAnsiTheme="minorHAnsi" w:cstheme="minorHAnsi"/>
        </w:rPr>
        <w:t xml:space="preserve"> bez práva hodnotit a hlasovat</w:t>
      </w:r>
      <w:r w:rsidRPr="00A93418">
        <w:rPr>
          <w:rFonts w:asciiTheme="minorHAnsi" w:hAnsiTheme="minorHAnsi" w:cstheme="minorHAnsi"/>
        </w:rPr>
        <w:t xml:space="preserve"> </w:t>
      </w:r>
      <w:r w:rsidR="0063405B">
        <w:rPr>
          <w:rFonts w:asciiTheme="minorHAnsi" w:hAnsiTheme="minorHAnsi" w:cstheme="minorHAnsi"/>
        </w:rPr>
        <w:br/>
      </w:r>
      <w:r w:rsidRPr="00A9341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tajemníka MEP</w:t>
      </w:r>
      <w:r w:rsidR="00400268">
        <w:rPr>
          <w:rFonts w:asciiTheme="minorHAnsi" w:hAnsiTheme="minorHAnsi" w:cstheme="minorHAnsi"/>
        </w:rPr>
        <w:t xml:space="preserve"> bez práva hodnotit a hlasovat</w:t>
      </w:r>
      <w:r w:rsidRPr="00A93418">
        <w:rPr>
          <w:rFonts w:asciiTheme="minorHAnsi" w:hAnsiTheme="minorHAnsi" w:cstheme="minorHAnsi"/>
        </w:rPr>
        <w:t xml:space="preserve">. Nadpoloviční většina hodnotících musí být tvořena zahraničními odborníky. </w:t>
      </w:r>
      <w:r w:rsidRPr="00A93418">
        <w:rPr>
          <w:rStyle w:val="cf01"/>
          <w:rFonts w:asciiTheme="minorHAnsi" w:hAnsiTheme="minorHAnsi" w:cstheme="minorHAnsi"/>
          <w:sz w:val="22"/>
          <w:szCs w:val="22"/>
        </w:rPr>
        <w:t xml:space="preserve">V případě okolností, které vyžadují výměnu či úpravu počtu hodnotících, je tato změna možná, celkový počet </w:t>
      </w:r>
      <w:r w:rsidR="00B45721">
        <w:rPr>
          <w:rStyle w:val="cf01"/>
          <w:rFonts w:asciiTheme="minorHAnsi" w:hAnsiTheme="minorHAnsi" w:cstheme="minorHAnsi"/>
          <w:sz w:val="22"/>
          <w:szCs w:val="22"/>
        </w:rPr>
        <w:t xml:space="preserve">hodnotících </w:t>
      </w:r>
      <w:r w:rsidRPr="00A93418">
        <w:rPr>
          <w:rStyle w:val="cf01"/>
          <w:rFonts w:asciiTheme="minorHAnsi" w:hAnsiTheme="minorHAnsi" w:cstheme="minorHAnsi"/>
          <w:sz w:val="22"/>
          <w:szCs w:val="22"/>
        </w:rPr>
        <w:t>členů MEP včetně předsedy však nikdy nesmí být nižší než sedm</w:t>
      </w:r>
      <w:r>
        <w:rPr>
          <w:rStyle w:val="cf01"/>
          <w:rFonts w:asciiTheme="minorHAnsi" w:hAnsiTheme="minorHAnsi" w:cstheme="minorHAnsi"/>
          <w:sz w:val="22"/>
          <w:szCs w:val="22"/>
        </w:rPr>
        <w:t>.</w:t>
      </w:r>
    </w:p>
    <w:p w14:paraId="08D83EDA" w14:textId="05A4C888" w:rsidR="00450C31" w:rsidRDefault="00400268" w:rsidP="00450C31">
      <w:pPr>
        <w:numPr>
          <w:ilvl w:val="0"/>
          <w:numId w:val="2"/>
        </w:numPr>
        <w:ind w:right="0" w:hanging="297"/>
      </w:pPr>
      <w:r>
        <w:t xml:space="preserve">Hodnotící </w:t>
      </w:r>
      <w:r w:rsidR="00CC594B">
        <w:t>č</w:t>
      </w:r>
      <w:r w:rsidR="005237DA">
        <w:t>leny MEP jmenuje</w:t>
      </w:r>
      <w:r w:rsidR="008820F6">
        <w:t xml:space="preserve"> na základě návrhu hodnocených vysokých </w:t>
      </w:r>
      <w:r w:rsidR="004611C6">
        <w:t>škol poskytovatel.</w:t>
      </w:r>
      <w:r w:rsidR="005237DA">
        <w:t xml:space="preserve"> </w:t>
      </w:r>
      <w:r w:rsidR="004611C6">
        <w:t>Vysoké školy navrhují</w:t>
      </w:r>
      <w:r>
        <w:t xml:space="preserve"> hodnotící</w:t>
      </w:r>
      <w:r w:rsidR="004611C6">
        <w:t xml:space="preserve"> členy MEP tak, aby šlo o externí všeobecně uznávané odborné </w:t>
      </w:r>
      <w:r w:rsidR="0001779A">
        <w:t>autority v oborové skupině FORD relevantní pro hodnocenou vysokou školu.</w:t>
      </w:r>
      <w:r w:rsidR="00450C31">
        <w:t xml:space="preserve"> </w:t>
      </w:r>
      <w:r w:rsidR="00287DE4">
        <w:t>Vysoké školy ve svých nominacích zohlední snahu o</w:t>
      </w:r>
      <w:r w:rsidR="00287DE4" w:rsidRPr="00450C31">
        <w:t xml:space="preserve"> genderovou vyváženost</w:t>
      </w:r>
      <w:r w:rsidR="00287DE4">
        <w:t xml:space="preserve"> MEP</w:t>
      </w:r>
      <w:r w:rsidR="00287DE4" w:rsidRPr="00450C31">
        <w:t xml:space="preserve"> s cílem dosáhnout alespoň 40% zastoupení žen, respektive mužů. </w:t>
      </w:r>
      <w:r>
        <w:t xml:space="preserve">Hodnotící </w:t>
      </w:r>
      <w:r w:rsidR="00CC594B">
        <w:t>č</w:t>
      </w:r>
      <w:r w:rsidR="00582111">
        <w:t xml:space="preserve">leny </w:t>
      </w:r>
      <w:r w:rsidR="00582111" w:rsidRPr="00582111">
        <w:t xml:space="preserve">MEP odvolává poskytovatel. </w:t>
      </w:r>
      <w:r w:rsidR="0001779A" w:rsidRPr="00582111">
        <w:t>Poskytovatel</w:t>
      </w:r>
      <w:r w:rsidR="00582111" w:rsidRPr="00582111">
        <w:t xml:space="preserve"> dále</w:t>
      </w:r>
      <w:r w:rsidR="0001779A" w:rsidRPr="00582111">
        <w:t xml:space="preserve"> </w:t>
      </w:r>
      <w:r w:rsidR="002D156F" w:rsidRPr="00582111">
        <w:t xml:space="preserve">jmenuje </w:t>
      </w:r>
      <w:r w:rsidR="0001779A" w:rsidRPr="00582111">
        <w:t>do MEP svého zástupce</w:t>
      </w:r>
      <w:r w:rsidR="002D156F" w:rsidRPr="00582111">
        <w:t>,</w:t>
      </w:r>
      <w:r w:rsidR="0001779A" w:rsidRPr="00582111">
        <w:t xml:space="preserve"> </w:t>
      </w:r>
      <w:r w:rsidR="002D156F" w:rsidRPr="00582111">
        <w:t>tzv.</w:t>
      </w:r>
      <w:r w:rsidR="0001779A" w:rsidRPr="00582111">
        <w:t xml:space="preserve"> </w:t>
      </w:r>
      <w:r w:rsidR="0050587B" w:rsidRPr="00582111">
        <w:t>m</w:t>
      </w:r>
      <w:r w:rsidR="0001779A" w:rsidRPr="00582111">
        <w:t>etodika poskytovatele.</w:t>
      </w:r>
      <w:r w:rsidR="00FE0ECF" w:rsidRPr="00582111">
        <w:t xml:space="preserve"> </w:t>
      </w:r>
      <w:r w:rsidR="00582111" w:rsidRPr="00582111">
        <w:t>T</w:t>
      </w:r>
      <w:r w:rsidR="00582111" w:rsidRPr="00582111">
        <w:rPr>
          <w:rFonts w:asciiTheme="minorHAnsi" w:hAnsiTheme="minorHAnsi" w:cstheme="minorHAnsi"/>
        </w:rPr>
        <w:t>ajemníka MEP</w:t>
      </w:r>
      <w:r>
        <w:rPr>
          <w:rFonts w:asciiTheme="minorHAnsi" w:hAnsiTheme="minorHAnsi" w:cstheme="minorHAnsi"/>
        </w:rPr>
        <w:t xml:space="preserve"> </w:t>
      </w:r>
      <w:r w:rsidR="00582111" w:rsidRPr="00582111">
        <w:rPr>
          <w:rFonts w:asciiTheme="minorHAnsi" w:hAnsiTheme="minorHAnsi" w:cstheme="minorHAnsi"/>
        </w:rPr>
        <w:t>jmenuje poskytovatel na návrh hodnocené VŠ</w:t>
      </w:r>
      <w:r w:rsidR="00BE6275">
        <w:rPr>
          <w:rFonts w:asciiTheme="minorHAnsi" w:hAnsiTheme="minorHAnsi" w:cstheme="minorHAnsi"/>
        </w:rPr>
        <w:t>.</w:t>
      </w:r>
    </w:p>
    <w:p w14:paraId="51FF231A" w14:textId="65F9451E" w:rsidR="006C4B01" w:rsidRDefault="005237DA" w:rsidP="0026575A">
      <w:pPr>
        <w:numPr>
          <w:ilvl w:val="0"/>
          <w:numId w:val="2"/>
        </w:numPr>
        <w:ind w:right="0" w:hanging="297"/>
      </w:pPr>
      <w:r>
        <w:t>Pro hodnocenou VŠ se zřizuje</w:t>
      </w:r>
      <w:r w:rsidR="00707FFB">
        <w:t xml:space="preserve"> vždy pouze</w:t>
      </w:r>
      <w:r>
        <w:t xml:space="preserve"> jediný MEP; velikost a heterogenitu </w:t>
      </w:r>
      <w:r w:rsidR="00707FFB">
        <w:t xml:space="preserve">součástí </w:t>
      </w:r>
      <w:r>
        <w:t>či oborů může daná VŠ zohlednit tím, že jmenuje vyšší počet</w:t>
      </w:r>
      <w:r w:rsidR="00B45721">
        <w:t xml:space="preserve"> hodnotících</w:t>
      </w:r>
      <w:r>
        <w:t xml:space="preserve"> členů MEP. </w:t>
      </w:r>
      <w:r w:rsidR="0001779A">
        <w:t xml:space="preserve">Za předpokladu vzájemné </w:t>
      </w:r>
      <w:r w:rsidR="0001779A">
        <w:lastRenderedPageBreak/>
        <w:t>dohody hodnocených VŠ může</w:t>
      </w:r>
      <w:r w:rsidR="00400268">
        <w:t xml:space="preserve"> se souhlasem poskytovatele</w:t>
      </w:r>
      <w:r w:rsidR="0001779A">
        <w:t xml:space="preserve"> jeden MEP hodnotit více VŠ, pokud jsou si tyto podobné charakterem realizovaných oblastí výzkumu, vývoje a inovací (dále jen „</w:t>
      </w:r>
      <w:proofErr w:type="spellStart"/>
      <w:r w:rsidR="0001779A">
        <w:t>VaVaI</w:t>
      </w:r>
      <w:proofErr w:type="spellEnd"/>
      <w:r w:rsidR="0001779A">
        <w:t>“).</w:t>
      </w:r>
    </w:p>
    <w:p w14:paraId="43F28DF6" w14:textId="6561898F" w:rsidR="006C4B01" w:rsidRDefault="005237DA" w:rsidP="0026575A">
      <w:pPr>
        <w:numPr>
          <w:ilvl w:val="0"/>
          <w:numId w:val="2"/>
        </w:numPr>
        <w:ind w:right="0" w:hanging="297"/>
      </w:pPr>
      <w:r>
        <w:t>Odborné kvality a nepodjatost nominovaných hodnot</w:t>
      </w:r>
      <w:r w:rsidR="0001779A">
        <w:t>ících</w:t>
      </w:r>
      <w:r w:rsidR="00EE7A9D">
        <w:t xml:space="preserve"> členů MEP</w:t>
      </w:r>
      <w:r>
        <w:t xml:space="preserve"> posoudí na základě jejich profesních životopisů</w:t>
      </w:r>
      <w:r w:rsidR="0001779A">
        <w:t xml:space="preserve"> poskytovatel a</w:t>
      </w:r>
      <w:r>
        <w:t xml:space="preserve"> Komise pro hodnocení výsledků a ukončených programů (dále též „KHV“). KHV jako poradní orgán Rady pro výzkum, vývoj a inovace koordinující hodnocení výzkumu </w:t>
      </w:r>
      <w:proofErr w:type="gramStart"/>
      <w:r>
        <w:t>předloží</w:t>
      </w:r>
      <w:proofErr w:type="gramEnd"/>
      <w:r>
        <w:t xml:space="preserve"> </w:t>
      </w:r>
      <w:r w:rsidR="00707FFB">
        <w:t xml:space="preserve">poskytovateli </w:t>
      </w:r>
      <w:r>
        <w:t xml:space="preserve">své vyjádření ke složení MEP. Toto vyjádření má </w:t>
      </w:r>
      <w:r w:rsidR="00A93418">
        <w:t>nezávazný doporučující</w:t>
      </w:r>
      <w:r>
        <w:t xml:space="preserve"> charakter.</w:t>
      </w:r>
      <w:r w:rsidR="0001779A">
        <w:t xml:space="preserve"> Poskytovatel</w:t>
      </w:r>
      <w:r>
        <w:t xml:space="preserve"> si může v odůvodněných případech vyžádat </w:t>
      </w:r>
      <w:r w:rsidR="0001779A">
        <w:t>návrh jiného hodnotícího</w:t>
      </w:r>
      <w:r w:rsidR="00B45721" w:rsidRPr="00B45721">
        <w:t xml:space="preserve"> </w:t>
      </w:r>
      <w:r w:rsidR="00B45721">
        <w:t xml:space="preserve">člena </w:t>
      </w:r>
      <w:r w:rsidR="0001779A">
        <w:t>/</w:t>
      </w:r>
      <w:r w:rsidR="00B45721">
        <w:t xml:space="preserve"> </w:t>
      </w:r>
      <w:r w:rsidR="0001779A">
        <w:t>hodnotících</w:t>
      </w:r>
      <w:r w:rsidR="00EE7A9D">
        <w:t xml:space="preserve"> členů MEP</w:t>
      </w:r>
      <w:r>
        <w:t xml:space="preserve">. </w:t>
      </w:r>
    </w:p>
    <w:p w14:paraId="4B3CF753" w14:textId="5EA65EAB" w:rsidR="006C4B01" w:rsidRDefault="005237DA" w:rsidP="0026575A">
      <w:pPr>
        <w:numPr>
          <w:ilvl w:val="0"/>
          <w:numId w:val="2"/>
        </w:numPr>
        <w:ind w:right="0" w:hanging="297"/>
      </w:pPr>
      <w:r>
        <w:t xml:space="preserve">Členství v MEP zaniká rezignací, odvoláním nebo úmrtím </w:t>
      </w:r>
      <w:r w:rsidR="00EE7A9D">
        <w:t>člena MEP</w:t>
      </w:r>
      <w:r w:rsidR="004F7BF5">
        <w:t xml:space="preserve">, popř. </w:t>
      </w:r>
      <w:r w:rsidR="00804075">
        <w:t xml:space="preserve">řádným </w:t>
      </w:r>
      <w:r w:rsidR="004F7BF5">
        <w:t>ukončením procesu hodnocení</w:t>
      </w:r>
      <w:r>
        <w:t xml:space="preserve">. </w:t>
      </w:r>
      <w:r w:rsidR="0001779A">
        <w:t>Poskytovatel</w:t>
      </w:r>
      <w:r>
        <w:t xml:space="preserve"> může </w:t>
      </w:r>
      <w:r w:rsidR="00EE7A9D">
        <w:t xml:space="preserve">člena MEP </w:t>
      </w:r>
      <w:r>
        <w:t>odvolat z důvodu podjatosti či z dalších závažných příčin, které musí být</w:t>
      </w:r>
      <w:r w:rsidR="004F7BF5">
        <w:t xml:space="preserve"> poskytovatelem řádně</w:t>
      </w:r>
      <w:r>
        <w:t xml:space="preserve"> odůvodněny. </w:t>
      </w:r>
    </w:p>
    <w:p w14:paraId="1ED7C2BC" w14:textId="6C587480" w:rsidR="00F5384E" w:rsidRDefault="005237DA" w:rsidP="0026575A">
      <w:pPr>
        <w:numPr>
          <w:ilvl w:val="0"/>
          <w:numId w:val="2"/>
        </w:numPr>
        <w:ind w:right="0" w:hanging="297"/>
      </w:pPr>
      <w:r>
        <w:t>Pokud se v průběhu hodnocení ukáže, že hodnot</w:t>
      </w:r>
      <w:r w:rsidR="004F0A71">
        <w:t>ící</w:t>
      </w:r>
      <w:r w:rsidR="00EE7A9D">
        <w:t xml:space="preserve"> člen MEP</w:t>
      </w:r>
      <w:r>
        <w:t xml:space="preserve"> prokazatelně porušil pravidla o nepodjatosti, k jeho hodnocení MEP nepřihlédne.</w:t>
      </w:r>
    </w:p>
    <w:p w14:paraId="718C1F66" w14:textId="0DB6476F" w:rsidR="00F5384E" w:rsidRDefault="00F5384E" w:rsidP="0026575A">
      <w:pPr>
        <w:numPr>
          <w:ilvl w:val="0"/>
          <w:numId w:val="2"/>
        </w:numPr>
        <w:ind w:right="0" w:hanging="297"/>
      </w:pPr>
      <w:r>
        <w:t>Za podjaté</w:t>
      </w:r>
      <w:r w:rsidR="009E6671">
        <w:t>ho</w:t>
      </w:r>
      <w:r>
        <w:t xml:space="preserve"> </w:t>
      </w:r>
      <w:r w:rsidR="009E6671">
        <w:t>je hodnotící</w:t>
      </w:r>
      <w:r w:rsidR="00EE7A9D">
        <w:t xml:space="preserve"> člen MEP</w:t>
      </w:r>
      <w:r w:rsidR="009E6671">
        <w:t xml:space="preserve"> považován</w:t>
      </w:r>
      <w:r>
        <w:t xml:space="preserve"> pokud:</w:t>
      </w:r>
    </w:p>
    <w:p w14:paraId="6FCBE51E" w14:textId="2DD1092E" w:rsidR="00F5384E" w:rsidRPr="00F5384E" w:rsidRDefault="00F5384E" w:rsidP="00023465">
      <w:pPr>
        <w:pStyle w:val="Odstavecseseznamem"/>
        <w:numPr>
          <w:ilvl w:val="1"/>
          <w:numId w:val="11"/>
        </w:numPr>
        <w:ind w:left="993"/>
      </w:pPr>
      <w:r w:rsidRPr="00F5384E">
        <w:t>Má blízké rodinné vazby (manžel, partner žijící či nežijící ve společné domácnosti) nebo jiné úzké osobní vazby s osobou, která zastává vedoucí pozici v hodnocené VŠ (</w:t>
      </w:r>
      <w:r w:rsidR="003860B4">
        <w:t xml:space="preserve">rektor, děkan, </w:t>
      </w:r>
      <w:r w:rsidRPr="00F5384E">
        <w:t xml:space="preserve">vedoucí katedry, ředitel </w:t>
      </w:r>
      <w:r w:rsidR="003860B4">
        <w:t>ústavu/institutu</w:t>
      </w:r>
      <w:r w:rsidRPr="00F5384E">
        <w:t xml:space="preserve"> </w:t>
      </w:r>
      <w:r w:rsidR="003860B4">
        <w:t>atd.</w:t>
      </w:r>
      <w:r w:rsidRPr="00F5384E">
        <w:t>), nebo s jakýmkoliv právním zástupcem hodnocené VŠ</w:t>
      </w:r>
      <w:r w:rsidR="00AF64E4">
        <w:t>;</w:t>
      </w:r>
    </w:p>
    <w:p w14:paraId="182838D4" w14:textId="4DC63A34" w:rsidR="00F5384E" w:rsidRPr="00F5384E" w:rsidRDefault="00F5384E" w:rsidP="00023465">
      <w:pPr>
        <w:pStyle w:val="Odstavecseseznamem"/>
        <w:numPr>
          <w:ilvl w:val="1"/>
          <w:numId w:val="11"/>
        </w:numPr>
        <w:ind w:left="993"/>
      </w:pPr>
      <w:r w:rsidRPr="00F5384E">
        <w:t xml:space="preserve">Je v </w:t>
      </w:r>
      <w:r w:rsidR="00804075">
        <w:t>pracovně-právním vztahu</w:t>
      </w:r>
      <w:r w:rsidRPr="00F5384E">
        <w:t xml:space="preserve"> nebo v průběhu posledních pěti let byl v </w:t>
      </w:r>
      <w:r w:rsidR="00804075">
        <w:t>pracovně-právním vztahu</w:t>
      </w:r>
      <w:r w:rsidRPr="00F5384E">
        <w:t xml:space="preserve"> k vysoké škole (dále též „VŠ“), která bude hodnocena</w:t>
      </w:r>
      <w:r w:rsidR="00AF64E4">
        <w:t>;</w:t>
      </w:r>
    </w:p>
    <w:p w14:paraId="0DFC6E32" w14:textId="5D1FEC70" w:rsidR="00F5384E" w:rsidRPr="00F5384E" w:rsidRDefault="00F5384E" w:rsidP="00023465">
      <w:pPr>
        <w:pStyle w:val="Odstavecseseznamem"/>
        <w:numPr>
          <w:ilvl w:val="1"/>
          <w:numId w:val="11"/>
        </w:numPr>
        <w:ind w:left="993"/>
      </w:pPr>
      <w:r w:rsidRPr="00F5384E">
        <w:t>Je členem některého z orgánů veřejné vysoké školy či některého z orgánů dalších součástí veřejné vysoké školy (§ 7 a § 22 zákona č. 111/1998 Sb., o vysokých školách a o změně a doplnění dalších zákonů, ve znění pozdějších předpisů) nebo zastává obdobnou funkci na hodnocené soukromé vysoké škole</w:t>
      </w:r>
      <w:r w:rsidR="00AF64E4">
        <w:t>;</w:t>
      </w:r>
    </w:p>
    <w:p w14:paraId="7CE906A3" w14:textId="17C5C49F" w:rsidR="006C4B01" w:rsidRDefault="00F5384E" w:rsidP="00023465">
      <w:pPr>
        <w:pStyle w:val="Odstavecseseznamem"/>
        <w:numPr>
          <w:ilvl w:val="1"/>
          <w:numId w:val="11"/>
        </w:numPr>
        <w:ind w:left="993" w:right="0"/>
      </w:pPr>
      <w:r w:rsidRPr="00F5384E">
        <w:t>V průběhu posledních pěti let se ve významné míře účastnil vědecké spolupráce nebo byl spoluautorem významného množství výstupů či výsledků hodnocené VŠ.</w:t>
      </w:r>
      <w:r w:rsidR="00287DE4">
        <w:rPr>
          <w:rStyle w:val="Znakapoznpodarou"/>
        </w:rPr>
        <w:footnoteReference w:id="2"/>
      </w:r>
    </w:p>
    <w:p w14:paraId="2A4617D9" w14:textId="7C8CBF0F" w:rsidR="00144D91" w:rsidRDefault="005237DA" w:rsidP="0026575A">
      <w:pPr>
        <w:numPr>
          <w:ilvl w:val="0"/>
          <w:numId w:val="2"/>
        </w:numPr>
        <w:ind w:right="0" w:hanging="297"/>
      </w:pPr>
      <w:r>
        <w:t xml:space="preserve">Pokud dojde během hodnoticího procesu k ukončení členství dle čl. 3 odst. </w:t>
      </w:r>
      <w:r w:rsidR="00144D91">
        <w:t>5</w:t>
      </w:r>
      <w:r>
        <w:t xml:space="preserve"> ze strany jednoho či více </w:t>
      </w:r>
      <w:r w:rsidR="00144D91">
        <w:t>hodnotících</w:t>
      </w:r>
      <w:r w:rsidR="00EE7A9D">
        <w:t xml:space="preserve"> členů MEP</w:t>
      </w:r>
      <w:r>
        <w:t xml:space="preserve"> a počet </w:t>
      </w:r>
      <w:r w:rsidR="00144D91">
        <w:t>hodnotících</w:t>
      </w:r>
      <w:r w:rsidR="00EE7A9D">
        <w:t xml:space="preserve"> členů MEP</w:t>
      </w:r>
      <w:r>
        <w:t xml:space="preserve"> klesne pod minimální počet stanovený v čl. 3 odst. </w:t>
      </w:r>
      <w:r w:rsidR="00B45721">
        <w:t>1</w:t>
      </w:r>
      <w:r>
        <w:t xml:space="preserve">, bude MEP doplněn dle návrhu </w:t>
      </w:r>
      <w:r w:rsidR="004F0A71">
        <w:t>hodnocené</w:t>
      </w:r>
      <w:r>
        <w:t xml:space="preserve"> VŠ podle čl. 3 odst. </w:t>
      </w:r>
      <w:r w:rsidR="00B45721">
        <w:t>2</w:t>
      </w:r>
      <w:r>
        <w:t xml:space="preserve"> s možností dodatečné verifikace kvalitativních a jiných předpokladů podle čl. 3 odst. </w:t>
      </w:r>
      <w:r w:rsidR="00144D91">
        <w:t>4</w:t>
      </w:r>
      <w:r>
        <w:t xml:space="preserve">. Hodnocení výsledků takto jmenovaným </w:t>
      </w:r>
      <w:r w:rsidR="00144D91">
        <w:t>hodnotícím</w:t>
      </w:r>
      <w:r w:rsidR="00EE7A9D">
        <w:t xml:space="preserve"> členem MEP</w:t>
      </w:r>
      <w:r>
        <w:t xml:space="preserve"> bude validní až po této verifikaci.</w:t>
      </w:r>
    </w:p>
    <w:p w14:paraId="12B0931A" w14:textId="2372E975" w:rsidR="006C4B01" w:rsidRDefault="009D3C32" w:rsidP="0026575A">
      <w:pPr>
        <w:numPr>
          <w:ilvl w:val="0"/>
          <w:numId w:val="2"/>
        </w:numPr>
        <w:ind w:right="0" w:hanging="297"/>
      </w:pPr>
      <w:r>
        <w:t>Pokud dojde během hodnotícího procesu k ukončení členství dle č</w:t>
      </w:r>
      <w:r w:rsidR="00287DE4">
        <w:t>l</w:t>
      </w:r>
      <w:r>
        <w:t>. 3 odst. 5 v případě metodika poskytovatele nebo tajemníka</w:t>
      </w:r>
      <w:r w:rsidR="007E2802">
        <w:t>,</w:t>
      </w:r>
      <w:r>
        <w:t xml:space="preserve"> bude MEP doplněn v souladu č</w:t>
      </w:r>
      <w:r w:rsidR="00287DE4">
        <w:t>l</w:t>
      </w:r>
      <w:r>
        <w:t>. 3. odst. 2.</w:t>
      </w:r>
    </w:p>
    <w:p w14:paraId="1B0817E7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 </w:t>
      </w:r>
    </w:p>
    <w:p w14:paraId="2089A906" w14:textId="77777777" w:rsidR="006C4B01" w:rsidRDefault="005237DA" w:rsidP="0026575A">
      <w:pPr>
        <w:spacing w:after="17" w:line="259" w:lineRule="auto"/>
        <w:jc w:val="center"/>
      </w:pPr>
      <w:r>
        <w:t xml:space="preserve">Článek 4 </w:t>
      </w:r>
    </w:p>
    <w:p w14:paraId="5C26162E" w14:textId="3751C594" w:rsidR="006C4B01" w:rsidRDefault="005237DA" w:rsidP="0026575A">
      <w:pPr>
        <w:pStyle w:val="Nadpis3"/>
        <w:ind w:right="8"/>
      </w:pPr>
      <w:r>
        <w:t xml:space="preserve">Práva a povinnosti členů </w:t>
      </w:r>
      <w:r w:rsidR="00231E25">
        <w:t xml:space="preserve">Mezinárodního </w:t>
      </w:r>
      <w:r>
        <w:t xml:space="preserve">evaluačního panelu </w:t>
      </w:r>
    </w:p>
    <w:p w14:paraId="3C2DDC18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BAAE0F9" w14:textId="77777777" w:rsidR="00D936B9" w:rsidRDefault="005237DA" w:rsidP="0026575A">
      <w:pPr>
        <w:numPr>
          <w:ilvl w:val="0"/>
          <w:numId w:val="3"/>
        </w:numPr>
        <w:ind w:right="0" w:hanging="297"/>
      </w:pPr>
      <w:r>
        <w:t>Hodnot</w:t>
      </w:r>
      <w:r w:rsidR="004F0A71">
        <w:t>ící</w:t>
      </w:r>
      <w:r>
        <w:t xml:space="preserve"> </w:t>
      </w:r>
      <w:r w:rsidR="00EE7A9D">
        <w:t xml:space="preserve">členové MEP </w:t>
      </w:r>
      <w:r>
        <w:t>m</w:t>
      </w:r>
      <w:r w:rsidR="004F0A71">
        <w:t>ají</w:t>
      </w:r>
      <w:r>
        <w:t xml:space="preserve"> </w:t>
      </w:r>
      <w:r w:rsidR="00D936B9">
        <w:t xml:space="preserve">právo hodnotit a hlasovat. </w:t>
      </w:r>
    </w:p>
    <w:p w14:paraId="46616873" w14:textId="05EA01BD" w:rsidR="006C4B01" w:rsidRDefault="00D936B9" w:rsidP="0026575A">
      <w:pPr>
        <w:numPr>
          <w:ilvl w:val="0"/>
          <w:numId w:val="3"/>
        </w:numPr>
        <w:ind w:right="0" w:hanging="297"/>
      </w:pPr>
      <w:r>
        <w:t xml:space="preserve">Hodnotící členové MEP mají </w:t>
      </w:r>
      <w:r w:rsidR="005237DA">
        <w:t xml:space="preserve">povinnost provádět činnost v MEP osobně, nezávisle a svým jménem vyjadřovat svůj odborný názor.  </w:t>
      </w:r>
    </w:p>
    <w:p w14:paraId="21F0D48D" w14:textId="77777777" w:rsidR="006C4B01" w:rsidRDefault="005237DA" w:rsidP="0026575A">
      <w:pPr>
        <w:numPr>
          <w:ilvl w:val="0"/>
          <w:numId w:val="3"/>
        </w:numPr>
        <w:ind w:right="0" w:hanging="297"/>
      </w:pPr>
      <w:r>
        <w:t xml:space="preserve">Členství v MEP je nezastupitelné.  </w:t>
      </w:r>
    </w:p>
    <w:p w14:paraId="2F16F7B8" w14:textId="1F7B1752" w:rsidR="006C4B01" w:rsidRDefault="005237DA" w:rsidP="0026575A">
      <w:pPr>
        <w:numPr>
          <w:ilvl w:val="0"/>
          <w:numId w:val="3"/>
        </w:numPr>
        <w:ind w:right="0" w:hanging="297"/>
      </w:pPr>
      <w:r>
        <w:t>Hodnot</w:t>
      </w:r>
      <w:r w:rsidR="004F0A71">
        <w:t>ící</w:t>
      </w:r>
      <w:r>
        <w:t xml:space="preserve"> </w:t>
      </w:r>
      <w:r w:rsidR="00EE7A9D">
        <w:t xml:space="preserve">členové MEP </w:t>
      </w:r>
      <w:r>
        <w:t>nesmí být podjat</w:t>
      </w:r>
      <w:r w:rsidR="004F0A71">
        <w:t>i</w:t>
      </w:r>
      <w:r>
        <w:t xml:space="preserve"> ve vztahu k hodnoceným vysokým školám a nesmí mít osobní zájem na výsledku hodnocení. Kritéria pro vyloučení střetu zájmů </w:t>
      </w:r>
      <w:r w:rsidR="00707FFB">
        <w:t>hodnotících</w:t>
      </w:r>
      <w:r w:rsidR="00EE7A9D">
        <w:t xml:space="preserve"> členů MEP</w:t>
      </w:r>
      <w:r w:rsidR="00707FFB">
        <w:t xml:space="preserve"> </w:t>
      </w:r>
      <w:r w:rsidR="007E54C3">
        <w:t xml:space="preserve">podle čl. 3 odst. 7 </w:t>
      </w:r>
      <w:r>
        <w:t xml:space="preserve">jsou uvedena v čestném prohlášení členů MEP ohledně nepodjatosti (dokument </w:t>
      </w:r>
      <w:r w:rsidR="00707FFB">
        <w:lastRenderedPageBreak/>
        <w:t>„</w:t>
      </w:r>
      <w:r>
        <w:t>Formulář člena Mezinárodního evaluačního panelu</w:t>
      </w:r>
      <w:r w:rsidR="00707FFB">
        <w:t>“</w:t>
      </w:r>
      <w:r>
        <w:t xml:space="preserve"> připravený </w:t>
      </w:r>
      <w:r w:rsidR="004F0A71">
        <w:t>poskytovatelem</w:t>
      </w:r>
      <w:r>
        <w:t>). Hodnot</w:t>
      </w:r>
      <w:r w:rsidR="004F0A71">
        <w:t>ící</w:t>
      </w:r>
      <w:r w:rsidR="00EE7A9D">
        <w:t xml:space="preserve"> členové MEP</w:t>
      </w:r>
      <w:r>
        <w:t xml:space="preserve"> potvrdí absenci </w:t>
      </w:r>
      <w:r w:rsidR="00707FFB">
        <w:t xml:space="preserve">střetu </w:t>
      </w:r>
      <w:r>
        <w:t>zájmů prostřednictvím podpisu tohoto čestného prohlášení.</w:t>
      </w:r>
    </w:p>
    <w:p w14:paraId="1F2A2729" w14:textId="34D87485" w:rsidR="006C4B01" w:rsidRDefault="007E54C3" w:rsidP="0026575A">
      <w:pPr>
        <w:numPr>
          <w:ilvl w:val="0"/>
          <w:numId w:val="3"/>
        </w:numPr>
        <w:ind w:right="0" w:hanging="297"/>
      </w:pPr>
      <w:r>
        <w:t>Členové MEP</w:t>
      </w:r>
      <w:r w:rsidR="005237DA">
        <w:t xml:space="preserve"> j</w:t>
      </w:r>
      <w:r w:rsidR="004F0A71">
        <w:t>sou</w:t>
      </w:r>
      <w:r w:rsidR="005237DA">
        <w:t xml:space="preserve"> </w:t>
      </w:r>
      <w:r w:rsidR="004F0A71">
        <w:t>povinni</w:t>
      </w:r>
      <w:r w:rsidR="005237DA">
        <w:t xml:space="preserve"> zachovávat mlčenlivost o všech skutečnostech, se kterými se seznámí v souvislosti se svým členstvím v MEP a neumožnit třetím osobám seznámit se s takto získanými údaji a informacemi.  </w:t>
      </w:r>
    </w:p>
    <w:p w14:paraId="2F2D1727" w14:textId="48899A85" w:rsidR="006C4B01" w:rsidRDefault="005237DA" w:rsidP="0026575A">
      <w:pPr>
        <w:numPr>
          <w:ilvl w:val="0"/>
          <w:numId w:val="3"/>
        </w:numPr>
        <w:ind w:right="0" w:hanging="297"/>
      </w:pPr>
      <w:r>
        <w:t>Hodnot</w:t>
      </w:r>
      <w:r w:rsidR="004F0A71">
        <w:t>ící</w:t>
      </w:r>
      <w:r w:rsidR="0066356D">
        <w:t>m</w:t>
      </w:r>
      <w:r>
        <w:t xml:space="preserve"> </w:t>
      </w:r>
      <w:r w:rsidR="00EE7A9D">
        <w:t xml:space="preserve">členům MEP </w:t>
      </w:r>
      <w:r>
        <w:t xml:space="preserve">náleží za práci v MEP finanční odměna na základě dohody o </w:t>
      </w:r>
      <w:r w:rsidR="004A2BC3">
        <w:t xml:space="preserve">práci </w:t>
      </w:r>
      <w:r>
        <w:t>konan</w:t>
      </w:r>
      <w:r w:rsidR="004A2BC3">
        <w:t>é</w:t>
      </w:r>
      <w:r>
        <w:t xml:space="preserve"> mimo pracovní poměr nebo jiné právní formy užívané k obdobným účelům uzavřené mezi hodnot</w:t>
      </w:r>
      <w:r w:rsidR="004F0A71">
        <w:t>ícím</w:t>
      </w:r>
      <w:r w:rsidR="00EE7A9D">
        <w:t xml:space="preserve"> členem MEP</w:t>
      </w:r>
      <w:r>
        <w:t xml:space="preserve"> a danou VŠ.</w:t>
      </w:r>
      <w:r w:rsidR="004A2BC3">
        <w:t xml:space="preserve"> Odměna metodika poskytovatele a tajemníka MEP je upravena v rámci pracovně-právního vztahu zúčastněných s poskytovatelem nebo VŠ.</w:t>
      </w:r>
    </w:p>
    <w:p w14:paraId="6FDE030A" w14:textId="285E1E0C" w:rsidR="006C4B01" w:rsidRDefault="005237DA" w:rsidP="0026575A">
      <w:pPr>
        <w:numPr>
          <w:ilvl w:val="0"/>
          <w:numId w:val="3"/>
        </w:numPr>
        <w:ind w:right="0" w:hanging="297"/>
      </w:pPr>
      <w:r>
        <w:t>Hodnot</w:t>
      </w:r>
      <w:r w:rsidR="004F0A71">
        <w:t>ící</w:t>
      </w:r>
      <w:r>
        <w:t xml:space="preserve"> </w:t>
      </w:r>
      <w:r w:rsidR="00EE7A9D">
        <w:t xml:space="preserve">člen MEP </w:t>
      </w:r>
      <w:r>
        <w:t xml:space="preserve">má právo na náhradu cestovních výdajů vzniklých v souvislosti s činností v MEP. Poskytování cestovních náhrad se řídí vnitřním předpisem dané VŠ.  </w:t>
      </w:r>
    </w:p>
    <w:p w14:paraId="0476915E" w14:textId="53F87A0A" w:rsidR="004F0A71" w:rsidRDefault="004F0A71" w:rsidP="0026575A">
      <w:pPr>
        <w:numPr>
          <w:ilvl w:val="0"/>
          <w:numId w:val="3"/>
        </w:numPr>
        <w:ind w:right="0" w:hanging="297"/>
      </w:pPr>
      <w:r>
        <w:t>Metodik poskytovatele</w:t>
      </w:r>
      <w:r w:rsidRPr="004F0A71">
        <w:t xml:space="preserve"> je garantem dodržování principů hodnocení dle Metodiky VŠ2025+ a Metodiky hodnocení výzkumných organizací schválené Vládou České republiky. </w:t>
      </w:r>
      <w:r w:rsidR="00582111">
        <w:t>D</w:t>
      </w:r>
      <w:r w:rsidRPr="004F0A71">
        <w:t xml:space="preserve">ohlíží na </w:t>
      </w:r>
      <w:r w:rsidR="00582111">
        <w:t>dodržování</w:t>
      </w:r>
      <w:r w:rsidRPr="004F0A71">
        <w:t xml:space="preserve"> termínů a procesů hodnocení, </w:t>
      </w:r>
      <w:proofErr w:type="gramStart"/>
      <w:r w:rsidRPr="004F0A71">
        <w:t>řeší</w:t>
      </w:r>
      <w:proofErr w:type="gramEnd"/>
      <w:r w:rsidRPr="004F0A71">
        <w:t xml:space="preserve"> metodické otázky a podílí se na organizaci hodnocení MEP během celého procesu hodnocení.</w:t>
      </w:r>
      <w:r w:rsidR="005C74A7" w:rsidRPr="005C74A7">
        <w:t xml:space="preserve"> </w:t>
      </w:r>
      <w:r w:rsidR="005C74A7" w:rsidRPr="004F0A71">
        <w:t>Metodik poskytovatele</w:t>
      </w:r>
      <w:r w:rsidR="005C74A7">
        <w:t xml:space="preserve"> nehlasuje a nepodílí se přímo na hodnocení.</w:t>
      </w:r>
    </w:p>
    <w:p w14:paraId="3327889A" w14:textId="6528EB63" w:rsidR="006C4B01" w:rsidRDefault="0066356D" w:rsidP="0026575A">
      <w:pPr>
        <w:numPr>
          <w:ilvl w:val="0"/>
          <w:numId w:val="3"/>
        </w:numPr>
        <w:ind w:right="0" w:hanging="297"/>
      </w:pPr>
      <w:r>
        <w:t>Tajemník MEP</w:t>
      </w:r>
      <w:r w:rsidR="004F0A71" w:rsidRPr="004F0A71">
        <w:t xml:space="preserve"> zajišťuje zejména administrativně-technickou podporu spojenou s fungováním MEP, koordinaci činností mezi MEP a vysokou školou a zodpovídá MEP dotazy stran vnitřní organizace vysoké školy a fungování jejích procesů.</w:t>
      </w:r>
      <w:r w:rsidR="005C74A7" w:rsidRPr="005C74A7">
        <w:t xml:space="preserve"> </w:t>
      </w:r>
      <w:r w:rsidR="005C74A7">
        <w:t xml:space="preserve">Tajemník </w:t>
      </w:r>
      <w:r w:rsidR="005C74A7" w:rsidRPr="004F0A71">
        <w:t>MEP</w:t>
      </w:r>
      <w:r w:rsidR="005C74A7">
        <w:t xml:space="preserve"> </w:t>
      </w:r>
      <w:r w:rsidR="005C74A7" w:rsidRPr="004F0A71">
        <w:t>poskytovatele</w:t>
      </w:r>
      <w:r w:rsidR="005C74A7">
        <w:t xml:space="preserve"> nehlasuje a nepodílí se přímo na hodnocení.</w:t>
      </w:r>
    </w:p>
    <w:p w14:paraId="0EB03A10" w14:textId="6DDB3384" w:rsidR="006C4B01" w:rsidRDefault="005237DA" w:rsidP="00B45721">
      <w:pPr>
        <w:spacing w:after="16" w:line="259" w:lineRule="auto"/>
        <w:ind w:left="46" w:right="0" w:firstLine="0"/>
        <w:jc w:val="center"/>
      </w:pPr>
      <w:r>
        <w:t xml:space="preserve"> </w:t>
      </w:r>
    </w:p>
    <w:p w14:paraId="19B0418B" w14:textId="77777777" w:rsidR="006C4B01" w:rsidRDefault="005237DA" w:rsidP="0026575A">
      <w:pPr>
        <w:spacing w:after="17" w:line="259" w:lineRule="auto"/>
        <w:jc w:val="center"/>
      </w:pPr>
      <w:r>
        <w:t xml:space="preserve">Článek 5 </w:t>
      </w:r>
    </w:p>
    <w:p w14:paraId="19CF4126" w14:textId="44DFE866" w:rsidR="006C4B01" w:rsidRDefault="005237DA" w:rsidP="001E7F39">
      <w:pPr>
        <w:pStyle w:val="Nadpis3"/>
        <w:ind w:right="2"/>
      </w:pPr>
      <w:r>
        <w:t xml:space="preserve">Organizační zajištění činnosti </w:t>
      </w:r>
      <w:r w:rsidR="00231E25">
        <w:t xml:space="preserve">Mezinárodního </w:t>
      </w:r>
      <w:r>
        <w:t xml:space="preserve">evaluačního panelu </w:t>
      </w:r>
    </w:p>
    <w:p w14:paraId="1D7B5BD4" w14:textId="77777777" w:rsidR="00A35AD2" w:rsidRDefault="00A35AD2" w:rsidP="00F002A4"/>
    <w:p w14:paraId="3F030581" w14:textId="32B380D8" w:rsidR="006C4B01" w:rsidRDefault="005237DA" w:rsidP="0026575A">
      <w:pPr>
        <w:numPr>
          <w:ilvl w:val="0"/>
          <w:numId w:val="4"/>
        </w:numPr>
        <w:ind w:right="0" w:hanging="295"/>
      </w:pPr>
      <w:r>
        <w:t xml:space="preserve">Činnost </w:t>
      </w:r>
      <w:r w:rsidR="009D3C32">
        <w:t>M</w:t>
      </w:r>
      <w:r>
        <w:t xml:space="preserve">ezinárodního evaluačního panelu řídí předseda. Předsedu jmenuje </w:t>
      </w:r>
      <w:r w:rsidR="00810CFA">
        <w:t>poskytovatel</w:t>
      </w:r>
      <w:r w:rsidR="009D3C32">
        <w:t xml:space="preserve"> na návrh hodnocené vysoké školy</w:t>
      </w:r>
      <w:r>
        <w:t xml:space="preserve">. </w:t>
      </w:r>
      <w:r w:rsidR="009D3C32">
        <w:t>Předsedu odvolává poskytovatel dle čl. 3 odst. 5.</w:t>
      </w:r>
    </w:p>
    <w:p w14:paraId="71F6F044" w14:textId="3146D85A" w:rsidR="006C4B01" w:rsidRDefault="005237DA" w:rsidP="0026575A">
      <w:pPr>
        <w:numPr>
          <w:ilvl w:val="0"/>
          <w:numId w:val="4"/>
        </w:numPr>
        <w:ind w:right="0" w:hanging="295"/>
      </w:pPr>
      <w:r>
        <w:t>Přípravu a distribuci podkladů a další organizační záležitosti zajišťuje tajemník</w:t>
      </w:r>
      <w:r w:rsidR="00111E1A">
        <w:t xml:space="preserve"> MEP</w:t>
      </w:r>
      <w:r>
        <w:t xml:space="preserve">.  </w:t>
      </w:r>
    </w:p>
    <w:p w14:paraId="296C48B5" w14:textId="4BD60885" w:rsidR="006C4B01" w:rsidRDefault="005237DA" w:rsidP="0026575A">
      <w:pPr>
        <w:numPr>
          <w:ilvl w:val="0"/>
          <w:numId w:val="4"/>
        </w:numPr>
        <w:ind w:right="0" w:hanging="295"/>
      </w:pPr>
      <w:r>
        <w:t>Administrativn</w:t>
      </w:r>
      <w:r w:rsidR="00111E1A">
        <w:t>í</w:t>
      </w:r>
      <w:r w:rsidR="00111E1A" w:rsidRPr="00111E1A">
        <w:t xml:space="preserve"> </w:t>
      </w:r>
      <w:r w:rsidR="00111E1A">
        <w:t>činnost MEP</w:t>
      </w:r>
      <w:r>
        <w:t xml:space="preserve"> včetně zřízení a provozu adekvátního elektronického informačního systému pro potřeby daného hodnocení zajišťuje hodnocená VŠ.  </w:t>
      </w:r>
    </w:p>
    <w:p w14:paraId="3A2DFFBA" w14:textId="77777777" w:rsidR="006C4B01" w:rsidRDefault="005237DA" w:rsidP="0026575A">
      <w:pPr>
        <w:spacing w:after="0" w:line="259" w:lineRule="auto"/>
        <w:ind w:left="46" w:right="0" w:firstLine="0"/>
        <w:jc w:val="center"/>
      </w:pPr>
      <w:r>
        <w:t xml:space="preserve"> </w:t>
      </w:r>
    </w:p>
    <w:p w14:paraId="11B85059" w14:textId="77777777" w:rsidR="006C4B01" w:rsidRDefault="005237DA" w:rsidP="0026575A">
      <w:pPr>
        <w:spacing w:after="17" w:line="259" w:lineRule="auto"/>
        <w:ind w:right="7"/>
        <w:jc w:val="center"/>
      </w:pPr>
      <w:r>
        <w:t xml:space="preserve">Článek 6  </w:t>
      </w:r>
    </w:p>
    <w:p w14:paraId="66EF2EA3" w14:textId="58D994A3" w:rsidR="006C4B01" w:rsidRDefault="005237DA" w:rsidP="0026575A">
      <w:pPr>
        <w:pStyle w:val="Nadpis3"/>
        <w:ind w:right="2"/>
      </w:pPr>
      <w:r>
        <w:t>Proces hodnocení vysokých škol</w:t>
      </w:r>
    </w:p>
    <w:p w14:paraId="00DD07EC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3A85A102" w14:textId="690FE229" w:rsidR="006C4B01" w:rsidRDefault="005237DA" w:rsidP="0026575A">
      <w:pPr>
        <w:numPr>
          <w:ilvl w:val="0"/>
          <w:numId w:val="5"/>
        </w:numPr>
        <w:ind w:right="0" w:hanging="298"/>
      </w:pPr>
      <w:r>
        <w:t>Každý hodnot</w:t>
      </w:r>
      <w:r w:rsidR="00810CFA">
        <w:t>ící</w:t>
      </w:r>
      <w:r>
        <w:t xml:space="preserve"> </w:t>
      </w:r>
      <w:r w:rsidR="00EE7A9D">
        <w:t xml:space="preserve">člen MEP </w:t>
      </w:r>
      <w:r>
        <w:t>se seznámí se všemi podklady předanými MEP k hodnocení a stanoveným způsobem sdělí, zda je považuje za způsobilé k hodnocení či zda požaduje (s patřičným zdůvodněním) jejich doplnění.</w:t>
      </w:r>
    </w:p>
    <w:p w14:paraId="337E8D04" w14:textId="082C1ED2" w:rsidR="006C4B01" w:rsidRDefault="005237DA" w:rsidP="0026575A">
      <w:pPr>
        <w:numPr>
          <w:ilvl w:val="0"/>
          <w:numId w:val="5"/>
        </w:numPr>
        <w:ind w:right="0" w:hanging="298"/>
      </w:pPr>
      <w:r>
        <w:t xml:space="preserve">Předseda </w:t>
      </w:r>
      <w:r w:rsidR="00810CFA">
        <w:t>MEP případně</w:t>
      </w:r>
      <w:r>
        <w:t xml:space="preserve"> vyzve vysokou školu k doplnění </w:t>
      </w:r>
      <w:proofErr w:type="spellStart"/>
      <w:r w:rsidR="00111E1A">
        <w:t>S</w:t>
      </w:r>
      <w:r>
        <w:t>ebeevaluační</w:t>
      </w:r>
      <w:proofErr w:type="spellEnd"/>
      <w:r>
        <w:t xml:space="preserve"> zprávy.  </w:t>
      </w:r>
    </w:p>
    <w:p w14:paraId="18F495BE" w14:textId="19717ADA" w:rsidR="006C4B01" w:rsidRDefault="005237DA" w:rsidP="0026575A">
      <w:pPr>
        <w:numPr>
          <w:ilvl w:val="0"/>
          <w:numId w:val="5"/>
        </w:numPr>
        <w:ind w:right="0" w:hanging="298"/>
      </w:pPr>
      <w:r>
        <w:t xml:space="preserve">Členové MEP </w:t>
      </w:r>
      <w:r w:rsidR="00AC353A">
        <w:t xml:space="preserve">při hodnocení vysoké školy postupují podle pravidel uvedených v </w:t>
      </w:r>
      <w:r w:rsidR="00A47461">
        <w:t>Metodice</w:t>
      </w:r>
      <w:r w:rsidR="00810CFA">
        <w:t xml:space="preserve"> VŠ2025+</w:t>
      </w:r>
      <w:r>
        <w:t xml:space="preserve">. </w:t>
      </w:r>
    </w:p>
    <w:p w14:paraId="7A2151D7" w14:textId="5F3429CE" w:rsidR="006C4B01" w:rsidRDefault="005237DA" w:rsidP="0026575A">
      <w:pPr>
        <w:numPr>
          <w:ilvl w:val="0"/>
          <w:numId w:val="5"/>
        </w:numPr>
        <w:ind w:right="0" w:hanging="298"/>
      </w:pPr>
      <w:r>
        <w:t xml:space="preserve">Výsledkem práce MEP je </w:t>
      </w:r>
      <w:r w:rsidR="00231E25">
        <w:t>E</w:t>
      </w:r>
      <w:r w:rsidR="00810CFA">
        <w:t xml:space="preserve">valuační zpráva o hodnocení vysoké školy zpracovaná v souladu </w:t>
      </w:r>
      <w:r w:rsidR="00F82DB3">
        <w:br/>
      </w:r>
      <w:r w:rsidR="00810CFA">
        <w:t>s Metodikou VŠ2025+ a dokumentací vydanou poskytovatelem</w:t>
      </w:r>
      <w:r>
        <w:t>.</w:t>
      </w:r>
    </w:p>
    <w:p w14:paraId="6B4DB1AB" w14:textId="77777777" w:rsidR="006C4B01" w:rsidRDefault="005237DA" w:rsidP="0026575A">
      <w:pPr>
        <w:spacing w:after="19" w:line="259" w:lineRule="auto"/>
        <w:ind w:left="46" w:right="0" w:firstLine="0"/>
        <w:jc w:val="center"/>
      </w:pPr>
      <w:r>
        <w:t xml:space="preserve"> </w:t>
      </w:r>
    </w:p>
    <w:p w14:paraId="1EA5E409" w14:textId="77777777" w:rsidR="006C4B01" w:rsidRDefault="005237DA" w:rsidP="0026575A">
      <w:pPr>
        <w:spacing w:after="17" w:line="259" w:lineRule="auto"/>
        <w:jc w:val="center"/>
      </w:pPr>
      <w:r>
        <w:t xml:space="preserve">Článek 7 </w:t>
      </w:r>
    </w:p>
    <w:p w14:paraId="5D29EAEF" w14:textId="132A1102" w:rsidR="006C4B01" w:rsidRDefault="005237DA" w:rsidP="0026575A">
      <w:pPr>
        <w:pStyle w:val="Nadpis3"/>
        <w:ind w:right="9"/>
      </w:pPr>
      <w:r>
        <w:t xml:space="preserve">Návštěva </w:t>
      </w:r>
      <w:r w:rsidR="00231E25">
        <w:t xml:space="preserve">Mezinárodního </w:t>
      </w:r>
      <w:r>
        <w:t xml:space="preserve">evaluačního panelu na místě </w:t>
      </w:r>
    </w:p>
    <w:p w14:paraId="7FA567D6" w14:textId="77777777" w:rsidR="00A35AD2" w:rsidRPr="00A35AD2" w:rsidRDefault="00A35AD2" w:rsidP="0026575A"/>
    <w:p w14:paraId="62F333AD" w14:textId="60F0A22E" w:rsidR="00364701" w:rsidRDefault="005237DA" w:rsidP="0026575A">
      <w:pPr>
        <w:pStyle w:val="Odstavecseseznamem"/>
        <w:numPr>
          <w:ilvl w:val="0"/>
          <w:numId w:val="8"/>
        </w:numPr>
        <w:ind w:right="0"/>
      </w:pPr>
      <w:r>
        <w:t>Nezbytnou součástí hodnocení je nejméně jedna pracovní návštěva MEP (on-</w:t>
      </w:r>
      <w:proofErr w:type="spellStart"/>
      <w:r>
        <w:t>site</w:t>
      </w:r>
      <w:proofErr w:type="spellEnd"/>
      <w:r>
        <w:t xml:space="preserve"> </w:t>
      </w:r>
      <w:proofErr w:type="gramStart"/>
      <w:r>
        <w:t>visit</w:t>
      </w:r>
      <w:proofErr w:type="gramEnd"/>
      <w:r>
        <w:t xml:space="preserve">) </w:t>
      </w:r>
      <w:r w:rsidR="00AC353A">
        <w:t>na</w:t>
      </w:r>
      <w:r>
        <w:t xml:space="preserve"> </w:t>
      </w:r>
      <w:r w:rsidR="00A93418">
        <w:t>hodnocené vysoké</w:t>
      </w:r>
      <w:r>
        <w:t xml:space="preserve"> škole.</w:t>
      </w:r>
    </w:p>
    <w:p w14:paraId="76CB029D" w14:textId="2DBA137B" w:rsidR="00364701" w:rsidRDefault="00364701" w:rsidP="0026575A">
      <w:pPr>
        <w:pStyle w:val="Odstavecseseznamem"/>
        <w:numPr>
          <w:ilvl w:val="0"/>
          <w:numId w:val="8"/>
        </w:numPr>
        <w:ind w:right="0"/>
      </w:pPr>
      <w:r>
        <w:lastRenderedPageBreak/>
        <w:t>Přesná pravidla a kritéria realizace on-</w:t>
      </w:r>
      <w:proofErr w:type="spellStart"/>
      <w:r>
        <w:t>site</w:t>
      </w:r>
      <w:proofErr w:type="spellEnd"/>
      <w:r>
        <w:t xml:space="preserve"> </w:t>
      </w:r>
      <w:proofErr w:type="gramStart"/>
      <w:r>
        <w:t>visit</w:t>
      </w:r>
      <w:proofErr w:type="gramEnd"/>
      <w:r>
        <w:t xml:space="preserve"> stanoví poskytovatel. Povinnými součástmi on-</w:t>
      </w:r>
      <w:proofErr w:type="spellStart"/>
      <w:r>
        <w:t>site</w:t>
      </w:r>
      <w:proofErr w:type="spellEnd"/>
      <w:r>
        <w:t xml:space="preserve"> </w:t>
      </w:r>
      <w:proofErr w:type="gramStart"/>
      <w:r>
        <w:t>visit</w:t>
      </w:r>
      <w:proofErr w:type="gramEnd"/>
      <w:r>
        <w:t xml:space="preserve"> jsou:</w:t>
      </w:r>
    </w:p>
    <w:p w14:paraId="653047E7" w14:textId="77777777" w:rsidR="00364701" w:rsidRDefault="00364701" w:rsidP="00023465">
      <w:pPr>
        <w:pStyle w:val="Odstavecseseznamem"/>
        <w:numPr>
          <w:ilvl w:val="1"/>
          <w:numId w:val="11"/>
        </w:numPr>
        <w:ind w:left="993"/>
      </w:pPr>
      <w:r>
        <w:t>Prezentace hodnocené vysoké školy a jejích součástí (prezenčně či vhodnou multimediální formou, pokud okolnosti nedovolí MEP osobní návštěvu pracoviště);</w:t>
      </w:r>
    </w:p>
    <w:p w14:paraId="08436753" w14:textId="6EFAD320" w:rsidR="00364701" w:rsidRDefault="00364701" w:rsidP="00023465">
      <w:pPr>
        <w:pStyle w:val="Odstavecseseznamem"/>
        <w:numPr>
          <w:ilvl w:val="1"/>
          <w:numId w:val="11"/>
        </w:numPr>
        <w:ind w:left="993"/>
      </w:pPr>
      <w:r>
        <w:t xml:space="preserve">Diskuse se zástupci managementu hodnocené vysoké školy a možnost se </w:t>
      </w:r>
      <w:r w:rsidR="00400268">
        <w:t xml:space="preserve">dotázat </w:t>
      </w:r>
      <w:r>
        <w:t xml:space="preserve">na vybrané aspekty </w:t>
      </w:r>
      <w:proofErr w:type="spellStart"/>
      <w:r>
        <w:t>Sebeevaluační</w:t>
      </w:r>
      <w:proofErr w:type="spellEnd"/>
      <w:r>
        <w:t xml:space="preserve"> zprávy;</w:t>
      </w:r>
    </w:p>
    <w:p w14:paraId="1CDF9F0A" w14:textId="77777777" w:rsidR="00364701" w:rsidRDefault="00364701" w:rsidP="00023465">
      <w:pPr>
        <w:pStyle w:val="Odstavecseseznamem"/>
        <w:numPr>
          <w:ilvl w:val="1"/>
          <w:numId w:val="11"/>
        </w:numPr>
        <w:ind w:left="993"/>
      </w:pPr>
      <w:r>
        <w:t>Diskuse s vědeckými a akademickými pracovníky hodnocené vysoké školy;</w:t>
      </w:r>
    </w:p>
    <w:p w14:paraId="2C26BF79" w14:textId="624D825D" w:rsidR="006C4B01" w:rsidRDefault="00364701" w:rsidP="00023465">
      <w:pPr>
        <w:pStyle w:val="Odstavecseseznamem"/>
        <w:numPr>
          <w:ilvl w:val="1"/>
          <w:numId w:val="11"/>
        </w:numPr>
        <w:ind w:left="993"/>
      </w:pPr>
      <w:r>
        <w:t>Diskuse se studenty hodnocené vysoké školy.</w:t>
      </w:r>
    </w:p>
    <w:p w14:paraId="36032631" w14:textId="77777777" w:rsidR="00A35AD2" w:rsidRDefault="00A35AD2" w:rsidP="0026575A">
      <w:pPr>
        <w:spacing w:after="19" w:line="259" w:lineRule="auto"/>
        <w:ind w:left="46" w:right="0" w:firstLine="0"/>
        <w:jc w:val="center"/>
        <w:rPr>
          <w:b/>
        </w:rPr>
      </w:pPr>
    </w:p>
    <w:p w14:paraId="518B72E8" w14:textId="31DCE33E" w:rsidR="006C4B01" w:rsidRDefault="005237DA" w:rsidP="0026575A">
      <w:pPr>
        <w:spacing w:after="19" w:line="259" w:lineRule="auto"/>
        <w:ind w:left="46" w:right="0" w:firstLine="0"/>
        <w:jc w:val="center"/>
      </w:pPr>
      <w:r>
        <w:t xml:space="preserve">ČÁST TŘETÍ </w:t>
      </w:r>
    </w:p>
    <w:p w14:paraId="6DC40DD0" w14:textId="568A11B3" w:rsidR="006C4B01" w:rsidRDefault="005237DA" w:rsidP="0026575A">
      <w:pPr>
        <w:pStyle w:val="Nadpis2"/>
        <w:ind w:right="7"/>
      </w:pPr>
      <w:r>
        <w:t xml:space="preserve">Jednací řád </w:t>
      </w:r>
      <w:r w:rsidR="00231E25">
        <w:t xml:space="preserve">Mezinárodního </w:t>
      </w:r>
      <w:r>
        <w:t xml:space="preserve">evaluačního panelu </w:t>
      </w:r>
    </w:p>
    <w:p w14:paraId="1552D51C" w14:textId="77777777" w:rsidR="006C4B01" w:rsidRDefault="005237DA" w:rsidP="0026575A">
      <w:pPr>
        <w:spacing w:after="16" w:line="259" w:lineRule="auto"/>
        <w:ind w:left="46" w:right="0" w:firstLine="0"/>
        <w:jc w:val="center"/>
      </w:pPr>
      <w:r>
        <w:t xml:space="preserve"> </w:t>
      </w:r>
    </w:p>
    <w:p w14:paraId="25C6400E" w14:textId="77777777" w:rsidR="006C4B01" w:rsidRDefault="005237DA" w:rsidP="0026575A">
      <w:pPr>
        <w:spacing w:after="17" w:line="259" w:lineRule="auto"/>
        <w:jc w:val="center"/>
      </w:pPr>
      <w:r>
        <w:t xml:space="preserve">Článek 8 </w:t>
      </w:r>
    </w:p>
    <w:p w14:paraId="41942B5C" w14:textId="09D5ECD4" w:rsidR="006C4B01" w:rsidRDefault="005237DA" w:rsidP="0026575A">
      <w:pPr>
        <w:pStyle w:val="Nadpis3"/>
        <w:ind w:right="7"/>
      </w:pPr>
      <w:r>
        <w:t xml:space="preserve">Příprava jednání </w:t>
      </w:r>
      <w:r w:rsidR="00231E25">
        <w:t xml:space="preserve">Mezinárodního </w:t>
      </w:r>
      <w:r>
        <w:t xml:space="preserve">evaluačního panelu </w:t>
      </w:r>
    </w:p>
    <w:p w14:paraId="6C502CD4" w14:textId="77777777" w:rsidR="006C4B01" w:rsidRDefault="005237DA" w:rsidP="0026575A">
      <w:pPr>
        <w:spacing w:after="16" w:line="259" w:lineRule="auto"/>
        <w:ind w:left="46" w:right="0" w:firstLine="0"/>
        <w:jc w:val="center"/>
      </w:pPr>
      <w:r>
        <w:rPr>
          <w:b/>
        </w:rPr>
        <w:t xml:space="preserve"> </w:t>
      </w:r>
    </w:p>
    <w:p w14:paraId="5AD4BAFF" w14:textId="77777777" w:rsidR="006C4B01" w:rsidRDefault="005237DA" w:rsidP="0026575A">
      <w:pPr>
        <w:numPr>
          <w:ilvl w:val="0"/>
          <w:numId w:val="7"/>
        </w:numPr>
        <w:ind w:right="0" w:hanging="298"/>
      </w:pPr>
      <w:r>
        <w:t>Kromě pracovní návštěvy MEP (on-</w:t>
      </w:r>
      <w:proofErr w:type="spellStart"/>
      <w:r>
        <w:t>site</w:t>
      </w:r>
      <w:proofErr w:type="spellEnd"/>
      <w:r>
        <w:t xml:space="preserve"> </w:t>
      </w:r>
      <w:proofErr w:type="gramStart"/>
      <w:r>
        <w:t>visit</w:t>
      </w:r>
      <w:proofErr w:type="gramEnd"/>
      <w:r>
        <w:t xml:space="preserve">) v dané vysoké škole může jednání MEP probíhat osobně, prostřednictvím elektronické pošty (dále též „per rollam“) nebo jinými distančními způsoby. </w:t>
      </w:r>
    </w:p>
    <w:p w14:paraId="1D1D3B1C" w14:textId="6EEB2A99" w:rsidR="00032508" w:rsidRDefault="00032508" w:rsidP="0026575A">
      <w:pPr>
        <w:numPr>
          <w:ilvl w:val="0"/>
          <w:numId w:val="7"/>
        </w:numPr>
        <w:ind w:right="0" w:hanging="298"/>
      </w:pPr>
      <w:r>
        <w:t>Osobní j</w:t>
      </w:r>
      <w:r w:rsidR="005237DA">
        <w:t>ednání MEP svolává předseda prostřednictvím tajemníka alespoň 30 pracovních dní před plánovaným termínem osobního jednání.</w:t>
      </w:r>
    </w:p>
    <w:p w14:paraId="2E16BDC0" w14:textId="40FA74A8" w:rsidR="006C4B01" w:rsidRDefault="00032508" w:rsidP="0026575A">
      <w:pPr>
        <w:numPr>
          <w:ilvl w:val="0"/>
          <w:numId w:val="7"/>
        </w:numPr>
        <w:ind w:right="0" w:hanging="298"/>
      </w:pPr>
      <w:r>
        <w:t xml:space="preserve">Distanční jednání MEP svolává předseda prostřednictvím tajemníka alespoň 10 pracovních dní před plánovaným termínem </w:t>
      </w:r>
      <w:r w:rsidR="00CC594B">
        <w:t>distančního</w:t>
      </w:r>
      <w:r w:rsidR="00EE7A9D">
        <w:t xml:space="preserve"> </w:t>
      </w:r>
      <w:r>
        <w:t>jednání, pokud se členové MEP předem nedohodnou jinak.</w:t>
      </w:r>
    </w:p>
    <w:p w14:paraId="397A44EB" w14:textId="534DC813" w:rsidR="006C4B01" w:rsidRDefault="005237DA" w:rsidP="0026575A">
      <w:pPr>
        <w:numPr>
          <w:ilvl w:val="0"/>
          <w:numId w:val="7"/>
        </w:numPr>
        <w:ind w:right="0" w:hanging="298"/>
      </w:pPr>
      <w:r>
        <w:t xml:space="preserve">Písemné podklady pro jednání jsou v elektronickém informačním systému </w:t>
      </w:r>
      <w:r w:rsidR="00BE613F">
        <w:t xml:space="preserve">dostupném </w:t>
      </w:r>
      <w:r>
        <w:t xml:space="preserve">pro potřeby daného hodnocení zpřístupněny nebo rozeslány elektronickou poštou nejpozději </w:t>
      </w:r>
      <w:r w:rsidR="0098646F">
        <w:t>1</w:t>
      </w:r>
      <w:r w:rsidR="00EE7A9D">
        <w:t>0</w:t>
      </w:r>
      <w:r>
        <w:t xml:space="preserve"> pracovních dní před termínem jednání. </w:t>
      </w:r>
    </w:p>
    <w:p w14:paraId="22B2C0DE" w14:textId="77777777" w:rsidR="006C4B01" w:rsidRDefault="005237DA" w:rsidP="0026575A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3E9DC1CA" w14:textId="77777777" w:rsidR="006C4B01" w:rsidRDefault="005237DA" w:rsidP="0026575A">
      <w:pPr>
        <w:spacing w:after="17" w:line="259" w:lineRule="auto"/>
        <w:jc w:val="center"/>
      </w:pPr>
      <w:r>
        <w:t xml:space="preserve">Článek 9 </w:t>
      </w:r>
    </w:p>
    <w:p w14:paraId="4520449D" w14:textId="3A4E170A" w:rsidR="006C4B01" w:rsidRDefault="005237DA" w:rsidP="0026575A">
      <w:pPr>
        <w:pStyle w:val="Nadpis3"/>
        <w:ind w:right="7"/>
      </w:pPr>
      <w:r>
        <w:t xml:space="preserve">Pravidla jednání </w:t>
      </w:r>
      <w:r w:rsidR="00231E25">
        <w:t xml:space="preserve">Mezinárodního </w:t>
      </w:r>
      <w:r>
        <w:t xml:space="preserve">evaluačního panelu </w:t>
      </w:r>
    </w:p>
    <w:p w14:paraId="01F519E6" w14:textId="77777777" w:rsidR="006C4B01" w:rsidRDefault="005237DA" w:rsidP="0026575A">
      <w:pPr>
        <w:spacing w:after="19" w:line="259" w:lineRule="auto"/>
        <w:ind w:left="46" w:right="0" w:firstLine="0"/>
        <w:jc w:val="center"/>
      </w:pPr>
      <w:r>
        <w:rPr>
          <w:b/>
        </w:rPr>
        <w:t xml:space="preserve"> </w:t>
      </w:r>
    </w:p>
    <w:p w14:paraId="32EF3E62" w14:textId="5DE9E490" w:rsidR="006C4B01" w:rsidRDefault="005237DA" w:rsidP="0026575A">
      <w:pPr>
        <w:numPr>
          <w:ilvl w:val="0"/>
          <w:numId w:val="12"/>
        </w:numPr>
        <w:ind w:right="0" w:hanging="298"/>
      </w:pPr>
      <w:r>
        <w:t xml:space="preserve">Jednání MEP řídí předseda, případně jím pověřený </w:t>
      </w:r>
      <w:r w:rsidR="00EE7A9D">
        <w:t>člen MEP</w:t>
      </w:r>
      <w:r>
        <w:t xml:space="preserve">.  </w:t>
      </w:r>
    </w:p>
    <w:p w14:paraId="1F39076E" w14:textId="252A3669" w:rsidR="006C4B01" w:rsidRDefault="005237DA" w:rsidP="0026575A">
      <w:pPr>
        <w:numPr>
          <w:ilvl w:val="0"/>
          <w:numId w:val="12"/>
        </w:numPr>
        <w:ind w:right="0" w:hanging="298"/>
      </w:pPr>
      <w:r>
        <w:t xml:space="preserve">Jednání MEP je neveřejné a mohou se ho účastnit jen členové MEP, případně předsedou MEP přizvaní hosté. </w:t>
      </w:r>
    </w:p>
    <w:p w14:paraId="69DEB890" w14:textId="742B7193" w:rsidR="006C4B01" w:rsidRDefault="005237DA" w:rsidP="0026575A">
      <w:pPr>
        <w:numPr>
          <w:ilvl w:val="0"/>
          <w:numId w:val="12"/>
        </w:numPr>
        <w:ind w:right="0" w:hanging="298"/>
      </w:pPr>
      <w:r>
        <w:t xml:space="preserve">Při jednání je MEP usnášeníschopný, pokud je jeho jednání přítomna nadpoloviční většina </w:t>
      </w:r>
      <w:r w:rsidR="003449D2">
        <w:t>hodnotících</w:t>
      </w:r>
      <w:r w:rsidR="00EE7A9D">
        <w:t xml:space="preserve"> členů MEP</w:t>
      </w:r>
      <w:r>
        <w:t xml:space="preserve">.  </w:t>
      </w:r>
    </w:p>
    <w:p w14:paraId="205B4F98" w14:textId="774264D6" w:rsidR="006C4B01" w:rsidRDefault="005237DA" w:rsidP="0026575A">
      <w:pPr>
        <w:numPr>
          <w:ilvl w:val="0"/>
          <w:numId w:val="12"/>
        </w:numPr>
        <w:ind w:right="0" w:hanging="298"/>
      </w:pPr>
      <w:r>
        <w:t>MEP rozhoduje hlasováním; k</w:t>
      </w:r>
      <w:r w:rsidR="00BE613F">
        <w:t> </w:t>
      </w:r>
      <w:r>
        <w:t xml:space="preserve">přijetí usnesení při jednání je potřeba souhlasu nadpoloviční většiny </w:t>
      </w:r>
      <w:r w:rsidR="003449D2">
        <w:t>hodnotících</w:t>
      </w:r>
      <w:r w:rsidR="00EE7A9D">
        <w:t xml:space="preserve"> členů MEP</w:t>
      </w:r>
      <w:r>
        <w:t xml:space="preserve">, při rovnosti hlasů rozhoduje hlas předsedy.  </w:t>
      </w:r>
    </w:p>
    <w:p w14:paraId="0C788BEA" w14:textId="49807379" w:rsidR="006C4B01" w:rsidRDefault="005237DA" w:rsidP="00804075">
      <w:pPr>
        <w:numPr>
          <w:ilvl w:val="0"/>
          <w:numId w:val="12"/>
        </w:numPr>
        <w:ind w:right="0" w:hanging="298"/>
      </w:pPr>
      <w:r>
        <w:t>Z</w:t>
      </w:r>
      <w:r w:rsidR="00BE613F">
        <w:t> </w:t>
      </w:r>
      <w:r>
        <w:t>jednání panelu pořídí tajemník nebo pověřený hodnot</w:t>
      </w:r>
      <w:r w:rsidR="00364701">
        <w:t>ící</w:t>
      </w:r>
      <w:r>
        <w:t xml:space="preserve"> </w:t>
      </w:r>
      <w:r w:rsidR="00BE613F">
        <w:t xml:space="preserve">člen MEP </w:t>
      </w:r>
      <w:r>
        <w:t xml:space="preserve">zápis, jehož součástí budou také výsledky hlasování a prezenční listina. </w:t>
      </w:r>
      <w:r w:rsidR="009C7F64">
        <w:t xml:space="preserve">Pokud hlasování MEP probíhá per rollam, rozešle tajemník příslušné podklady a návrh stanoviska elektronicky všem členům MEP s uvedením termínu, ve kterém mají své vyjádření či hlasování zaslat elektronickou poštou tajemníkovi a předsedovi MEP. Stanovená lhůta musí být dlouhá nejméně 10 pracovních dní, pokud se členové MEP předem nedohodnou jinak. Návrh stanoviska MEP je per rollam schválen tehdy, pokud s ním během stanovené lhůty </w:t>
      </w:r>
      <w:proofErr w:type="gramStart"/>
      <w:r w:rsidR="009C7F64">
        <w:t>vyjádří</w:t>
      </w:r>
      <w:proofErr w:type="gramEnd"/>
      <w:r w:rsidR="009C7F64">
        <w:t xml:space="preserve"> souhlas nadpoloviční většina všech hodnotících členů MEP. Zápis je rozeslán tajemníkem všem členům MEP elektronickou poštou nejpozději do 5 pracovních dní a následně založen k archivaci. O výsledku hlasování per rollam je pořízen zápis. </w:t>
      </w:r>
      <w:r>
        <w:t>Zápis</w:t>
      </w:r>
      <w:r w:rsidR="009C7F64">
        <w:t xml:space="preserve"> z jednání MEP</w:t>
      </w:r>
      <w:r>
        <w:t xml:space="preserve"> </w:t>
      </w:r>
      <w:r w:rsidR="009C7F64">
        <w:t xml:space="preserve">svým podpisem </w:t>
      </w:r>
      <w:r>
        <w:t xml:space="preserve">schvaluje předseda nebo osoba, která jednání </w:t>
      </w:r>
      <w:r w:rsidR="00231E25">
        <w:t>na základě pověření předsedy MEP</w:t>
      </w:r>
      <w:r>
        <w:t xml:space="preserve"> řídila</w:t>
      </w:r>
      <w:r w:rsidR="009C7F64">
        <w:t>.</w:t>
      </w:r>
      <w:r w:rsidR="00603C49">
        <w:t xml:space="preserve"> </w:t>
      </w:r>
      <w:r w:rsidR="009C7F64">
        <w:lastRenderedPageBreak/>
        <w:t xml:space="preserve">Takto schválený zápis rozešle tajemník všem členům MEP elektronickou poštou nejpozději do 5 pracovních dní po jeho podpisu a </w:t>
      </w:r>
      <w:proofErr w:type="gramStart"/>
      <w:r w:rsidR="009C7F64">
        <w:t>založí</w:t>
      </w:r>
      <w:proofErr w:type="gramEnd"/>
      <w:r w:rsidR="009C7F64">
        <w:t xml:space="preserve"> jej k archivaci.</w:t>
      </w:r>
      <w:r>
        <w:t xml:space="preserve"> </w:t>
      </w:r>
    </w:p>
    <w:p w14:paraId="3132F078" w14:textId="28B92FAB" w:rsidR="00512FB2" w:rsidRPr="008913C1" w:rsidRDefault="00512FB2" w:rsidP="008913C1">
      <w:pPr>
        <w:spacing w:after="16" w:line="259" w:lineRule="auto"/>
        <w:ind w:left="0" w:right="0" w:firstLine="0"/>
        <w:jc w:val="left"/>
      </w:pPr>
    </w:p>
    <w:p w14:paraId="19EF61AB" w14:textId="77777777" w:rsidR="006C4B01" w:rsidRDefault="005237DA" w:rsidP="0026575A">
      <w:pPr>
        <w:pStyle w:val="Nadpis1"/>
        <w:ind w:right="2"/>
      </w:pPr>
      <w:r>
        <w:t xml:space="preserve">ČÁST ČTVRTÁ </w:t>
      </w:r>
    </w:p>
    <w:p w14:paraId="0F829223" w14:textId="77777777" w:rsidR="006C4B01" w:rsidRDefault="005237DA" w:rsidP="0026575A">
      <w:pPr>
        <w:pStyle w:val="Nadpis2"/>
        <w:spacing w:after="98"/>
        <w:ind w:right="4"/>
      </w:pPr>
      <w:r>
        <w:t xml:space="preserve">Účinnost </w:t>
      </w:r>
    </w:p>
    <w:p w14:paraId="1F2CFC9B" w14:textId="77777777" w:rsidR="006C4B01" w:rsidRDefault="005237DA" w:rsidP="0026575A">
      <w:pPr>
        <w:spacing w:after="17" w:line="259" w:lineRule="auto"/>
        <w:ind w:right="5"/>
        <w:jc w:val="center"/>
      </w:pPr>
      <w:r>
        <w:t xml:space="preserve">Článek 10 </w:t>
      </w:r>
    </w:p>
    <w:p w14:paraId="1BE384C4" w14:textId="77777777" w:rsidR="006C4B01" w:rsidRDefault="005237DA" w:rsidP="0026575A">
      <w:pPr>
        <w:spacing w:after="0" w:line="259" w:lineRule="auto"/>
        <w:ind w:left="51" w:right="0" w:firstLine="0"/>
        <w:jc w:val="center"/>
      </w:pPr>
      <w:r>
        <w:rPr>
          <w:sz w:val="24"/>
        </w:rPr>
        <w:t xml:space="preserve"> </w:t>
      </w:r>
    </w:p>
    <w:p w14:paraId="026902C0" w14:textId="77777777" w:rsidR="006C4B01" w:rsidRDefault="005237DA" w:rsidP="0026575A">
      <w:pPr>
        <w:ind w:left="-5" w:right="0"/>
      </w:pPr>
      <w:r>
        <w:t xml:space="preserve">Tento statut a jednací řád nabývá účinnosti dnem   </w:t>
      </w:r>
    </w:p>
    <w:p w14:paraId="119B29AD" w14:textId="77777777" w:rsidR="006C4B01" w:rsidRDefault="005237DA" w:rsidP="0026575A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089A8A3D" w14:textId="77777777" w:rsidR="006C4B01" w:rsidRDefault="005237DA" w:rsidP="0026575A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2BB5F15C" w14:textId="77777777" w:rsidR="006C4B01" w:rsidRDefault="005237DA" w:rsidP="0026575A">
      <w:pPr>
        <w:spacing w:after="243"/>
        <w:ind w:left="-5" w:right="0"/>
      </w:pPr>
      <w:r>
        <w:t>V __________ dne __________                           podpis   _________________________</w:t>
      </w:r>
      <w:r>
        <w:rPr>
          <w:b/>
        </w:rPr>
        <w:t xml:space="preserve"> </w:t>
      </w:r>
    </w:p>
    <w:p w14:paraId="7DF9122C" w14:textId="5EC53A54" w:rsidR="006C4B01" w:rsidRDefault="005237DA" w:rsidP="0026575A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963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</w:t>
      </w:r>
      <w:r>
        <w:rPr>
          <w:i/>
        </w:rPr>
        <w:t>(</w:t>
      </w:r>
      <w:r w:rsidR="003449D2">
        <w:rPr>
          <w:i/>
        </w:rPr>
        <w:t>odpovědný zástupce poskytovatele</w:t>
      </w:r>
      <w:r>
        <w:rPr>
          <w:i/>
        </w:rPr>
        <w:t xml:space="preserve">) </w:t>
      </w:r>
    </w:p>
    <w:p w14:paraId="573B2FEF" w14:textId="77777777" w:rsidR="006C4B01" w:rsidRDefault="005237DA" w:rsidP="0026575A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6C4B01" w:rsidSect="006406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899" w:h="16841"/>
      <w:pgMar w:top="1843" w:right="1411" w:bottom="1416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A46C8" w14:textId="77777777" w:rsidR="0064060E" w:rsidRDefault="0064060E">
      <w:pPr>
        <w:spacing w:after="0" w:line="240" w:lineRule="auto"/>
      </w:pPr>
      <w:r>
        <w:separator/>
      </w:r>
    </w:p>
  </w:endnote>
  <w:endnote w:type="continuationSeparator" w:id="0">
    <w:p w14:paraId="0E52C6FD" w14:textId="77777777" w:rsidR="0064060E" w:rsidRDefault="0064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A15D" w14:textId="77777777" w:rsidR="006C4B01" w:rsidRDefault="005237DA">
    <w:pPr>
      <w:tabs>
        <w:tab w:val="center" w:pos="4534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E1A1" w14:textId="6AAE1DF2" w:rsidR="006C4B01" w:rsidRPr="00A93418" w:rsidRDefault="005237DA" w:rsidP="00A93418">
    <w:pPr>
      <w:pStyle w:val="Zpat"/>
      <w:jc w:val="right"/>
      <w:rPr>
        <w:color w:val="87888A"/>
        <w:sz w:val="20"/>
        <w:szCs w:val="20"/>
      </w:rPr>
    </w:pPr>
    <w:r>
      <w:rPr>
        <w:sz w:val="20"/>
      </w:rPr>
      <w:t xml:space="preserve"> </w:t>
    </w:r>
    <w:r>
      <w:rPr>
        <w:sz w:val="20"/>
      </w:rPr>
      <w:tab/>
    </w:r>
    <w:r w:rsidR="00A93418" w:rsidRPr="00A93418">
      <w:rPr>
        <w:noProof/>
        <w:color w:val="87888A"/>
        <w:sz w:val="2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80584D" wp14:editId="68C84C73">
              <wp:simplePos x="0" y="0"/>
              <wp:positionH relativeFrom="column">
                <wp:posOffset>-852028</wp:posOffset>
              </wp:positionH>
              <wp:positionV relativeFrom="paragraph">
                <wp:posOffset>92028</wp:posOffset>
              </wp:positionV>
              <wp:extent cx="2238233" cy="0"/>
              <wp:effectExtent l="0" t="0" r="0" b="0"/>
              <wp:wrapNone/>
              <wp:docPr id="1428404326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238233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428D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B8967C" id="Přímá spojnice 1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1pt,7.25pt" to="109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+PzQEAAOkDAAAOAAAAZHJzL2Uyb0RvYy54bWysU8tu2zAQvAfoPxC815LlJHAFyznESHMI&#10;kiBpP4CmlhYBvkCylvz3WVKykrbooUUvhLi7M7szXG1uBq3IEXyQ1jR0uSgpAcNtK82hod+/3X1e&#10;UxIiMy1T1kBDTxDozfbTxaZ3NVS2s6oFT5DEhLp3De1idHVRBN6BZmFhHRhMCus1i3j1h6L1rEd2&#10;rYqqLK+L3vrWecshBIzuxiTdZn4hgMcnIQJEohqKs8V8+nzu01lsN6w+eOY6yacx2D9MoZk02HSm&#10;2rHIyA8vf6PSknsbrIgLbnVhhZAcsgZUsyx/UfPaMQdZC5oT3GxT+H+0/PF4a5492tC7UAf37JOK&#10;QXhNhJLuHt8068JJyZBtO822wRAJx2BVrdbVakUJP+eKkSJROR/iV7CapI+GKmmSIlaz40OI2BZL&#10;zyUprAzpkfHqsixzWbBKtndSqZQM/rC/VZ4cGb7mZbXefblOD4gUH8rwpgwG3/Xkr3hSMDZ4AUFk&#10;i3OPyvKqwUzLOAcTlxOvMlidYAJHmIHTaGlH/wSc6hMU8hr+DXhG5M7WxBmspbF+NObn7nE4jyzG&#10;+rMDo+5kwd62p/zS2Rrcp+zctPtpYT/eM/z9D92+AQAA//8DAFBLAwQUAAYACAAAACEAOdqVDt4A&#10;AAAKAQAADwAAAGRycy9kb3ducmV2LnhtbEyPTUvEMBCG74L/IYzgRXbTL6XWposIiuBhcd3DHtM2&#10;NsVmUpL0Y/+9Ix70OPM+vPNMuVvNwGblfG9RQLyNgClsbNtjJ+D48bzJgfkgsZWDRSXgrDzsqsuL&#10;UhatXfBdzYfQMSpBX0gBOoSx4Nw3Whnpt3ZUSNmndUYGGl3HWycXKjcDT6LojhvZI13QclRPWjVf&#10;h8kImF72r/fN25yGTOPNqV5cnp+dENdX6+MDsKDW8AfDjz6pQ0VOtZ2w9WwQsInTLCGWkuwWGBFJ&#10;nKfA6t8Fr0r+/4XqGwAA//8DAFBLAQItABQABgAIAAAAIQC2gziS/gAAAOEBAAATAAAAAAAAAAAA&#10;AAAAAAAAAABbQ29udGVudF9UeXBlc10ueG1sUEsBAi0AFAAGAAgAAAAhADj9If/WAAAAlAEAAAsA&#10;AAAAAAAAAAAAAAAALwEAAF9yZWxzLy5yZWxzUEsBAi0AFAAGAAgAAAAhAMLJz4/NAQAA6QMAAA4A&#10;AAAAAAAAAAAAAAAALgIAAGRycy9lMm9Eb2MueG1sUEsBAi0AFAAGAAgAAAAhADnalQ7eAAAACgEA&#10;AA8AAAAAAAAAAAAAAAAAJwQAAGRycy9kb3ducmV2LnhtbFBLBQYAAAAABAAEAPMAAAAyBQAAAAA=&#10;" strokecolor="#428d96" strokeweight="2pt">
              <v:stroke joinstyle="miter"/>
            </v:line>
          </w:pict>
        </mc:Fallback>
      </mc:AlternateContent>
    </w:r>
    <w:r w:rsidR="00A93418" w:rsidRPr="00A93418">
      <w:rPr>
        <w:color w:val="87888A"/>
        <w:sz w:val="20"/>
      </w:rPr>
      <w:t>STATUT A JEDNACÍ ŘÁD MEZINÁRODNÍHO EVALUAČNÍHO PANELU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454C" w14:textId="77777777" w:rsidR="006C4B01" w:rsidRDefault="005237DA">
    <w:pPr>
      <w:tabs>
        <w:tab w:val="center" w:pos="4534"/>
      </w:tabs>
      <w:spacing w:after="0" w:line="259" w:lineRule="auto"/>
      <w:ind w:left="0"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CEEBE" w14:textId="77777777" w:rsidR="0064060E" w:rsidRDefault="0064060E">
      <w:pPr>
        <w:spacing w:after="9" w:line="253" w:lineRule="auto"/>
        <w:ind w:left="0" w:right="0" w:firstLine="0"/>
      </w:pPr>
      <w:r>
        <w:separator/>
      </w:r>
    </w:p>
  </w:footnote>
  <w:footnote w:type="continuationSeparator" w:id="0">
    <w:p w14:paraId="15C18FC2" w14:textId="77777777" w:rsidR="0064060E" w:rsidRDefault="0064060E">
      <w:pPr>
        <w:spacing w:after="9" w:line="253" w:lineRule="auto"/>
        <w:ind w:left="0" w:right="0" w:firstLine="0"/>
      </w:pPr>
      <w:r>
        <w:continuationSeparator/>
      </w:r>
    </w:p>
  </w:footnote>
  <w:footnote w:id="1">
    <w:p w14:paraId="68A4017A" w14:textId="77777777" w:rsidR="00582111" w:rsidRDefault="00582111" w:rsidP="0058211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 w:rsidRPr="00D8643F">
        <w:rPr>
          <w:rFonts w:cstheme="minorHAnsi"/>
          <w:szCs w:val="18"/>
        </w:rPr>
        <w:t>Pro zjednodušení textu je v případech označení fyzických osob používáno generické maskulinum.</w:t>
      </w:r>
    </w:p>
    <w:p w14:paraId="76D996D5" w14:textId="77777777" w:rsidR="00582111" w:rsidRDefault="00582111" w:rsidP="00582111">
      <w:pPr>
        <w:pStyle w:val="footnotedescription"/>
        <w:spacing w:after="0" w:line="259" w:lineRule="auto"/>
        <w:jc w:val="left"/>
      </w:pPr>
      <w:r>
        <w:rPr>
          <w:i w:val="0"/>
          <w:sz w:val="20"/>
        </w:rPr>
        <w:t xml:space="preserve"> </w:t>
      </w:r>
    </w:p>
  </w:footnote>
  <w:footnote w:id="2">
    <w:p w14:paraId="1914CB0D" w14:textId="51D7236A" w:rsidR="00287DE4" w:rsidRDefault="00287DE4">
      <w:pPr>
        <w:pStyle w:val="Textpoznpodarou"/>
      </w:pPr>
      <w:r>
        <w:rPr>
          <w:rStyle w:val="Znakapoznpodarou"/>
        </w:rPr>
        <w:footnoteRef/>
      </w:r>
      <w:r>
        <w:t xml:space="preserve"> Zejména řešení společných projektů a spolupořádání konferencí.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AE2ED" w14:textId="77777777" w:rsidR="006C4B01" w:rsidRDefault="005237DA">
    <w:pPr>
      <w:spacing w:after="0" w:line="259" w:lineRule="auto"/>
      <w:ind w:left="47" w:righ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82018" wp14:editId="1D13F45D">
          <wp:simplePos x="0" y="0"/>
          <wp:positionH relativeFrom="page">
            <wp:posOffset>3082925</wp:posOffset>
          </wp:positionH>
          <wp:positionV relativeFrom="page">
            <wp:posOffset>449580</wp:posOffset>
          </wp:positionV>
          <wp:extent cx="1389761" cy="694055"/>
          <wp:effectExtent l="0" t="0" r="0" b="0"/>
          <wp:wrapSquare wrapText="bothSides"/>
          <wp:docPr id="1737892755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761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03907099" w14:textId="77777777" w:rsidR="006C4B01" w:rsidRDefault="005237DA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5F6B" w14:textId="4318E193" w:rsidR="006C4B01" w:rsidRDefault="00A93418" w:rsidP="00A93418">
    <w:pPr>
      <w:pStyle w:val="Zhlav"/>
      <w:jc w:val="left"/>
    </w:pPr>
    <w:r w:rsidRPr="00912831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758F242" wp14:editId="3A529EE6">
              <wp:simplePos x="0" y="0"/>
              <wp:positionH relativeFrom="page">
                <wp:posOffset>6268853</wp:posOffset>
              </wp:positionH>
              <wp:positionV relativeFrom="page">
                <wp:posOffset>537210</wp:posOffset>
              </wp:positionV>
              <wp:extent cx="559558" cy="345440"/>
              <wp:effectExtent l="0" t="0" r="0" b="0"/>
              <wp:wrapSquare wrapText="bothSides"/>
              <wp:docPr id="13806" name="Group 138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9558" cy="345440"/>
                        <a:chOff x="0" y="0"/>
                        <a:chExt cx="559558" cy="345440"/>
                      </a:xfrm>
                    </wpg:grpSpPr>
                    <pic:pic xmlns:pic="http://schemas.openxmlformats.org/drawingml/2006/picture">
                      <pic:nvPicPr>
                        <pic:cNvPr id="13807" name="Picture 138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164" cy="3454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808" name="Rectangle 13808"/>
                      <wps:cNvSpPr/>
                      <wps:spPr>
                        <a:xfrm>
                          <a:off x="259497" y="82042"/>
                          <a:ext cx="300061" cy="181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43BBAD" w14:textId="77777777" w:rsidR="00A93418" w:rsidRPr="00912831" w:rsidRDefault="00A93418" w:rsidP="00A93418">
                            <w:pPr>
                              <w:spacing w:after="160" w:line="259" w:lineRule="auto"/>
                              <w:jc w:val="left"/>
                            </w:pPr>
                            <w:r w:rsidRPr="00912831">
                              <w:fldChar w:fldCharType="begin"/>
                            </w:r>
                            <w:r w:rsidRPr="00912831">
                              <w:instrText xml:space="preserve"> PAGE   \* MERGEFORMAT </w:instrText>
                            </w:r>
                            <w:r w:rsidRPr="00912831">
                              <w:fldChar w:fldCharType="separate"/>
                            </w:r>
                            <w:r w:rsidRPr="00912831">
                              <w:rPr>
                                <w:sz w:val="21"/>
                              </w:rPr>
                              <w:t>2</w:t>
                            </w:r>
                            <w:r w:rsidRPr="00912831">
                              <w:rPr>
                                <w:sz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809" name="Rectangle 13809"/>
                      <wps:cNvSpPr/>
                      <wps:spPr>
                        <a:xfrm>
                          <a:off x="326772" y="82042"/>
                          <a:ext cx="40311" cy="181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4D3417" w14:textId="77777777" w:rsidR="00A93418" w:rsidRPr="00912831" w:rsidRDefault="00A93418" w:rsidP="00A93418">
                            <w:pPr>
                              <w:spacing w:after="160" w:line="259" w:lineRule="auto"/>
                              <w:jc w:val="left"/>
                            </w:pPr>
                            <w:r w:rsidRPr="00912831">
                              <w:rPr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758F242" id="Group 13806" o:spid="_x0000_s1026" style="position:absolute;margin-left:493.6pt;margin-top:42.3pt;width:44.05pt;height:27.2pt;z-index:251662336;mso-position-horizontal-relative:page;mso-position-vertical-relative:page;mso-width-relative:margin" coordsize="5595,34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YvWiV2AIAAF0IAAAOAAAAZHJzL2Uyb0RvYy54bWzEVttu2zAMfR+w&#10;fzD03tpOnJvRpBjWtRgwrMG6fYAsy7YwWRIkJU729aMkO12Tdmv7sD7UpSyJPDyHpHNxuWt5tKXa&#10;MCmWKD1PUEQFkSUT9RL9+H59NkeRsViUmEtBl2hPDbpcvX930amcjmQjeUl1BE6EyTu1RI21Ko9j&#10;QxraYnMuFRWwWUndYgtLXcelxh14b3k8SpJp3EldKi0JNQbeXoVNtPL+q4oSe1tVhtqILxFgs/6p&#10;/bNwz3h1gfNaY9Uw0sPAr0DRYiYg6MHVFbY42mh24qplREsjK3tOZBvLqmKE+hwgmzQ5yuZGy43y&#10;udR5V6sDTUDtEU+vdku+bm+0ulNrDUx0qgYu/Mrlsqt06/4DymjnKdsfKKM7GxF4OZksJhPQmMDW&#10;OJtkWU8paYD3k1uk+fTXe/EQNH4ARTGSw1+fP1gn+f+7TuCW3WiKeifts3y0WP/cqDOQSmHLCsaZ&#10;3fuyA1EcKLFdM7LWYQFUrnXESmiD8TyZoUjgFioeTrjAUXgJLLuL7qy7CcvYrR84KjhT14xzx72z&#10;e8hQtUeqP5J1qKgrSTYtFTa0iKYc0EthGqYMinRO24ICTP25TEMDGKupJY0LWEHgb9A2DhnODxse&#10;5T0wh9lA0Ty7TJIknWbHZXKQG+dKG3tDZRs5A6ABAuAY53j7xfRYhiM9ZSG8xwVoXPHCBDEDWbA6&#10;oetFTXLXYEUBgnP7UFmo9qCsowmLmgdt547K/vShn8xTLI0mi2wBNQJtMx8l2SjoMHTVOIHRlga6&#10;0nk6nXnnr6UL51w4LoV0VRWEdW+gyQZ8zrK7YtenUMhyD7XcSP3rFoZ7xWW3RLK3kJv3oJHbRRH/&#10;LIBpN1oHQw9GMRja8o/SD+AA48PGyop5WV3gEK3HAxL+Ry0Xj2u5eJGW49F0Nhs9pWWWjNO3kDJM&#10;oiGRt1bUD3T4hvmp0n9v3Ufyz7WvgPtfBavfAAAA//8DAFBLAwQKAAAAAAAAACEAUdYhRJQEAACU&#10;BAAAFAAAAGRycy9tZWRpYS9pbWFnZTEuanBn/9j/4AAQSkZJRgABAQEAYABgAAD/2wBDAAMCAgMC&#10;AgMDAwMEAwMEBQgFBQQEBQoHBwYIDAoMDAsKCwsNDhIQDQ4RDgsLEBYQERMUFRUVDA8XGBYUGBIU&#10;FRT/2wBDAQMEBAUEBQkFBQkUDQsNFBQUFBQUFBQUFBQUFBQUFBQUFBQUFBQUFBQUFBQUFBQUFBQU&#10;FBQUFBQUFBQUFBQUFBT/wAARCABRAH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PlH9uz/mSP+37/ANt6+ffhL/yVXwZ/2GrL/wBH&#10;pX0F+3Z/zJH/AG/f+29fPvwl/wCSq+DP+w1Zf+j0r6HD/wC7L5/qfmmZ/wDI1frH8kfphRRRXzx+&#10;lhRRRQAUUUUAFFFFABRRRQAUUUUAFFFFAHyj+3Z/zJH/AG/f+29fPvwl/wCSq+DP+w1Zf+j0r6C/&#10;bs/5kj/t+/8Abevn34S/8lV8Gf8AYasv/R6V9Dh/92Xz/U/NMz/5Gr9Y/kj9MKKKK+eP0sKKKKAC&#10;iiigAooooAKKKKACiiigAooooA+Uf27P+ZI/7fv/AG3r59+Ev/JVfBn/AGGrL/0elfQX7dn/ADJH&#10;/b9/7b18+/CX/kqvgz/sNWX/AKPSvocP/uy+f6n5pmf/ACNX6x/JH6YUUUV88fpYUUUUAFFFFABR&#10;RRQAUUUUAFFFFABRRRQB8o/t2f8AMkf9v3/tvXz78Jf+Sq+DP+w1Zf8Ao9K/RnXvCWh+KfI/trRt&#10;P1fyN3lfb7WOfy92N23cDjOBnHXArPs/hj4O0+7hurXwnodtdQussU0Omwq8bg5VlYLkEEAgivTp&#10;YuNOl7No+VxeT1MRjHiVNJXWnol/kdPRRRXmH1QUUUUAFFFFABRRRQAUUUUAFFFFABRRRQAUUUUA&#10;FFFFABRRRQAUUUUAFFFFABRRRQAUUUUAFFFFABRRRQAUUUUAFFFFABRRRQAUUUUAFFFFABRRRQB/&#10;/9lQSwMEFAAGAAgAAAAhANbEh5viAAAACwEAAA8AAABkcnMvZG93bnJldi54bWxMj8FuwjAMhu+T&#10;9g6RJ+02ktIBpWuKENp2QpMGkxC30Ji2onGqJrTl7RdO282WP/3+/mw1mob12LnakoRoIoAhFVbX&#10;VEr42X+8JMCcV6RVYwkl3NDBKn98yFSq7UDf2O98yUIIuVRJqLxvU85dUaFRbmJbpHA7284oH9au&#10;5LpTQwg3DZ8KMedG1RQ+VKrFTYXFZXc1Ej4HNazj6L3fXs6b23E/+zpsI5Ty+WlcvwHzOPo/GO76&#10;QR3y4HSyV9KONRKWyWIaUAnJ6xzYHRCLWQzsFKZ4KYDnGf/fIf8F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Ni9aJXYAgAAXQgAAA4AAAAAAAAAAAAAAAAAPQIAAGRy&#10;cy9lMm9Eb2MueG1sUEsBAi0ACgAAAAAAAAAhAFHWIUSUBAAAlAQAABQAAAAAAAAAAAAAAAAAQQUA&#10;AGRycy9tZWRpYS9pbWFnZTEuanBnUEsBAi0AFAAGAAgAAAAhANbEh5viAAAACwEAAA8AAAAAAAAA&#10;AAAAAAAABwoAAGRycy9kb3ducmV2LnhtbFBLAQItABQABgAIAAAAIQA3ncEYugAAACEBAAAZAAAA&#10;AAAAAAAAAAAAABYLAABkcnMvX3JlbHMvZTJvRG9jLnhtbC5yZWxzUEsFBgAAAAAGAAYAfAEAAAcM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807" o:spid="_x0000_s1027" type="#_x0000_t75" style="position:absolute;width:5001;height:3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d2oxgAAAN4AAAAPAAAAZHJzL2Rvd25yZXYueG1sRI9Ba8JA&#10;EIXvhf6HZQpeRDdVsBpdpYiCUi+muXgbstMkNDsbd1eN/94tCL3N8N68781i1ZlGXMn52rKC92EC&#10;griwuuZSQf69HUxB+ICssbFMCu7kYbV8fVlgqu2Nj3TNQiliCPsUFVQhtKmUvqjIoB/aljhqP9YZ&#10;DHF1pdQObzHcNHKUJBNpsOZIqLCldUXFb3YxEZJ/OdofqH++6Ky/zSnw5jRTqvfWfc5BBOrCv/l5&#10;vdOx/niafMDfO3EGuXwAAAD//wMAUEsBAi0AFAAGAAgAAAAhANvh9svuAAAAhQEAABMAAAAAAAAA&#10;AAAAAAAAAAAAAFtDb250ZW50X1R5cGVzXS54bWxQSwECLQAUAAYACAAAACEAWvQsW78AAAAVAQAA&#10;CwAAAAAAAAAAAAAAAAAfAQAAX3JlbHMvLnJlbHNQSwECLQAUAAYACAAAACEA+X3dqMYAAADeAAAA&#10;DwAAAAAAAAAAAAAAAAAHAgAAZHJzL2Rvd25yZXYueG1sUEsFBgAAAAADAAMAtwAAAPoCAAAAAA==&#10;">
                <v:imagedata r:id="rId2" o:title=""/>
              </v:shape>
              <v:rect id="Rectangle 13808" o:spid="_x0000_s1028" style="position:absolute;left:2594;top:820;width:3001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5AJxwAAAN4AAAAPAAAAZHJzL2Rvd25yZXYueG1sRI9Ba8JA&#10;EIXvgv9hmUJvummFElNXEavo0aqgvQ3ZaRKanQ3Z1aT99c6h4G2G9+a9b2aL3tXqRm2oPBt4GSeg&#10;iHNvKy4MnI6bUQoqRGSLtWcy8EsBFvPhYIaZ9R1/0u0QCyUhHDI0UMbYZFqHvCSHYewbYtG+fesw&#10;ytoW2rbYSbir9WuSvGmHFUtDiQ2tSsp/DldnYJs2y8vO/3VFvf7anvfn6cdxGo15fuqX76Ai9fFh&#10;/r/eWcGfpInwyjsyg57fAQAA//8DAFBLAQItABQABgAIAAAAIQDb4fbL7gAAAIUBAAATAAAAAAAA&#10;AAAAAAAAAAAAAABbQ29udGVudF9UeXBlc10ueG1sUEsBAi0AFAAGAAgAAAAhAFr0LFu/AAAAFQEA&#10;AAsAAAAAAAAAAAAAAAAAHwEAAF9yZWxzLy5yZWxzUEsBAi0AFAAGAAgAAAAhAOUrkAnHAAAA3gAA&#10;AA8AAAAAAAAAAAAAAAAABwIAAGRycy9kb3ducmV2LnhtbFBLBQYAAAAAAwADALcAAAD7AgAAAAA=&#10;" filled="f" stroked="f">
                <v:textbox inset="0,0,0,0">
                  <w:txbxContent>
                    <w:p w14:paraId="7F43BBAD" w14:textId="77777777" w:rsidR="00A93418" w:rsidRPr="00912831" w:rsidRDefault="00A93418" w:rsidP="00A93418">
                      <w:pPr>
                        <w:spacing w:after="160" w:line="259" w:lineRule="auto"/>
                        <w:jc w:val="left"/>
                      </w:pPr>
                      <w:r w:rsidRPr="00912831">
                        <w:fldChar w:fldCharType="begin"/>
                      </w:r>
                      <w:r w:rsidRPr="00912831">
                        <w:instrText xml:space="preserve"> PAGE   \* MERGEFORMAT </w:instrText>
                      </w:r>
                      <w:r w:rsidRPr="00912831">
                        <w:fldChar w:fldCharType="separate"/>
                      </w:r>
                      <w:r w:rsidRPr="00912831">
                        <w:rPr>
                          <w:sz w:val="21"/>
                        </w:rPr>
                        <w:t>2</w:t>
                      </w:r>
                      <w:r w:rsidRPr="00912831">
                        <w:rPr>
                          <w:sz w:val="21"/>
                        </w:rPr>
                        <w:fldChar w:fldCharType="end"/>
                      </w:r>
                    </w:p>
                  </w:txbxContent>
                </v:textbox>
              </v:rect>
              <v:rect id="Rectangle 13809" o:spid="_x0000_s1029" style="position:absolute;left:3267;top:820;width:403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WSxQAAAN4AAAAPAAAAZHJzL2Rvd25yZXYueG1sRE9La8JA&#10;EL4X+h+WKfRWN21BkpiNSB/osRpBvQ3ZMQlmZ0N2a1J/fVcQvM3H95xsPppWnKl3jWUFr5MIBHFp&#10;dcOVgm3x/RKDcB5ZY2uZFPyRg3n++JBhqu3AazpvfCVCCLsUFdTed6mUrqzJoJvYjjhwR9sb9AH2&#10;ldQ9DiHctPItiqbSYMOhocaOPmoqT5tfo2AZd4v9yl6Gqv06LHc/u+SzSLxSz0/jYgbC0+jv4pt7&#10;pcP89zhK4PpOuEHm/wAAAP//AwBQSwECLQAUAAYACAAAACEA2+H2y+4AAACFAQAAEwAAAAAAAAAA&#10;AAAAAAAAAAAAW0NvbnRlbnRfVHlwZXNdLnhtbFBLAQItABQABgAIAAAAIQBa9CxbvwAAABUBAAAL&#10;AAAAAAAAAAAAAAAAAB8BAABfcmVscy8ucmVsc1BLAQItABQABgAIAAAAIQCKZzWSxQAAAN4AAAAP&#10;AAAAAAAAAAAAAAAAAAcCAABkcnMvZG93bnJldi54bWxQSwUGAAAAAAMAAwC3AAAA+QIAAAAA&#10;" filled="f" stroked="f">
                <v:textbox inset="0,0,0,0">
                  <w:txbxContent>
                    <w:p w14:paraId="314D3417" w14:textId="77777777" w:rsidR="00A93418" w:rsidRPr="00912831" w:rsidRDefault="00A93418" w:rsidP="00A93418">
                      <w:pPr>
                        <w:spacing w:after="160" w:line="259" w:lineRule="auto"/>
                        <w:jc w:val="left"/>
                      </w:pPr>
                      <w:r w:rsidRPr="00912831">
                        <w:rPr>
                          <w:sz w:val="21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Pr="00912831">
      <w:rPr>
        <w:noProof/>
        <w:lang w:eastAsia="cs-CZ"/>
      </w:rPr>
      <w:drawing>
        <wp:inline distT="0" distB="0" distL="0" distR="0" wp14:anchorId="0EA6BDFE" wp14:editId="2DD363FC">
          <wp:extent cx="1057218" cy="527969"/>
          <wp:effectExtent l="0" t="0" r="0" b="5715"/>
          <wp:docPr id="64789926" name="Obrázek 64789926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Obrázek 180" descr="Obsah obrázku text, Písmo, logo, Grafika&#10;&#10;Popis byl vytvořen automaticky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313" cy="540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0572" w14:textId="77777777" w:rsidR="006C4B01" w:rsidRDefault="005237DA">
    <w:pPr>
      <w:spacing w:after="0" w:line="259" w:lineRule="auto"/>
      <w:ind w:left="47" w:right="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CC0EAD" wp14:editId="035BF4BE">
          <wp:simplePos x="0" y="0"/>
          <wp:positionH relativeFrom="page">
            <wp:posOffset>3082925</wp:posOffset>
          </wp:positionH>
          <wp:positionV relativeFrom="page">
            <wp:posOffset>449580</wp:posOffset>
          </wp:positionV>
          <wp:extent cx="1389761" cy="694055"/>
          <wp:effectExtent l="0" t="0" r="0" b="0"/>
          <wp:wrapSquare wrapText="bothSides"/>
          <wp:docPr id="17912787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761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6E64A4AD" w14:textId="77777777" w:rsidR="006C4B01" w:rsidRDefault="005237DA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F0A"/>
    <w:multiLevelType w:val="hybridMultilevel"/>
    <w:tmpl w:val="DAAE02F0"/>
    <w:lvl w:ilvl="0" w:tplc="0CB0349E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A2D2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0012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CD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ABB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BC9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7861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AD80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2665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441045"/>
    <w:multiLevelType w:val="hybridMultilevel"/>
    <w:tmpl w:val="D19830F6"/>
    <w:lvl w:ilvl="0" w:tplc="FFFFFFFF">
      <w:start w:val="1"/>
      <w:numFmt w:val="decimal"/>
      <w:lvlText w:val="(%1)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A64439"/>
    <w:multiLevelType w:val="hybridMultilevel"/>
    <w:tmpl w:val="BBD42FC8"/>
    <w:lvl w:ilvl="0" w:tplc="FFFFFFFF">
      <w:start w:val="1"/>
      <w:numFmt w:val="decimal"/>
      <w:lvlText w:val="(%1)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A2626">
      <w:start w:val="1"/>
      <w:numFmt w:val="bullet"/>
      <w:lvlText w:val=""/>
      <w:lvlJc w:val="left"/>
      <w:pPr>
        <w:ind w:left="1440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428D96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3F1459"/>
    <w:multiLevelType w:val="hybridMultilevel"/>
    <w:tmpl w:val="B542346A"/>
    <w:lvl w:ilvl="0" w:tplc="3536C50A">
      <w:start w:val="1"/>
      <w:numFmt w:val="decimal"/>
      <w:lvlText w:val="(%1)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7885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6AFC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B6C2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82E4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4E23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C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F86F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FC3F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017D23"/>
    <w:multiLevelType w:val="hybridMultilevel"/>
    <w:tmpl w:val="D19830F6"/>
    <w:lvl w:ilvl="0" w:tplc="95648DBA">
      <w:start w:val="1"/>
      <w:numFmt w:val="decimal"/>
      <w:lvlText w:val="(%1)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D6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E9F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CD8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0FD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863D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66F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F896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AC9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7F090D"/>
    <w:multiLevelType w:val="hybridMultilevel"/>
    <w:tmpl w:val="F482D57A"/>
    <w:lvl w:ilvl="0" w:tplc="FD08A6B4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5" w:hanging="360"/>
      </w:pPr>
    </w:lvl>
    <w:lvl w:ilvl="2" w:tplc="0405001B" w:tentative="1">
      <w:start w:val="1"/>
      <w:numFmt w:val="lowerRoman"/>
      <w:lvlText w:val="%3."/>
      <w:lvlJc w:val="right"/>
      <w:pPr>
        <w:ind w:left="1785" w:hanging="180"/>
      </w:pPr>
    </w:lvl>
    <w:lvl w:ilvl="3" w:tplc="0405000F" w:tentative="1">
      <w:start w:val="1"/>
      <w:numFmt w:val="decimal"/>
      <w:lvlText w:val="%4."/>
      <w:lvlJc w:val="left"/>
      <w:pPr>
        <w:ind w:left="2505" w:hanging="360"/>
      </w:pPr>
    </w:lvl>
    <w:lvl w:ilvl="4" w:tplc="04050019" w:tentative="1">
      <w:start w:val="1"/>
      <w:numFmt w:val="lowerLetter"/>
      <w:lvlText w:val="%5."/>
      <w:lvlJc w:val="left"/>
      <w:pPr>
        <w:ind w:left="3225" w:hanging="360"/>
      </w:pPr>
    </w:lvl>
    <w:lvl w:ilvl="5" w:tplc="0405001B" w:tentative="1">
      <w:start w:val="1"/>
      <w:numFmt w:val="lowerRoman"/>
      <w:lvlText w:val="%6."/>
      <w:lvlJc w:val="right"/>
      <w:pPr>
        <w:ind w:left="3945" w:hanging="180"/>
      </w:pPr>
    </w:lvl>
    <w:lvl w:ilvl="6" w:tplc="0405000F" w:tentative="1">
      <w:start w:val="1"/>
      <w:numFmt w:val="decimal"/>
      <w:lvlText w:val="%7."/>
      <w:lvlJc w:val="left"/>
      <w:pPr>
        <w:ind w:left="4665" w:hanging="360"/>
      </w:pPr>
    </w:lvl>
    <w:lvl w:ilvl="7" w:tplc="04050019" w:tentative="1">
      <w:start w:val="1"/>
      <w:numFmt w:val="lowerLetter"/>
      <w:lvlText w:val="%8."/>
      <w:lvlJc w:val="left"/>
      <w:pPr>
        <w:ind w:left="5385" w:hanging="360"/>
      </w:pPr>
    </w:lvl>
    <w:lvl w:ilvl="8" w:tplc="040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450D4DD3"/>
    <w:multiLevelType w:val="hybridMultilevel"/>
    <w:tmpl w:val="95AC6366"/>
    <w:lvl w:ilvl="0" w:tplc="BB72BE9C">
      <w:start w:val="1"/>
      <w:numFmt w:val="decimal"/>
      <w:lvlText w:val="(%1)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24D792">
      <w:start w:val="1"/>
      <w:numFmt w:val="lowerLetter"/>
      <w:lvlText w:val="%2.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A409C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2AEB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6A4D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D7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F64F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C057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4B1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61702C"/>
    <w:multiLevelType w:val="hybridMultilevel"/>
    <w:tmpl w:val="0C1ABC44"/>
    <w:lvl w:ilvl="0" w:tplc="07CA2626">
      <w:start w:val="1"/>
      <w:numFmt w:val="bullet"/>
      <w:lvlText w:val=""/>
      <w:lvlJc w:val="left"/>
      <w:pPr>
        <w:ind w:left="1065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428D96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20F5828"/>
    <w:multiLevelType w:val="hybridMultilevel"/>
    <w:tmpl w:val="5FBE53BA"/>
    <w:lvl w:ilvl="0" w:tplc="7EF87BC6">
      <w:start w:val="1"/>
      <w:numFmt w:val="decimal"/>
      <w:lvlText w:val="(%1)"/>
      <w:lvlJc w:val="left"/>
      <w:pPr>
        <w:ind w:left="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00B0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7403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642D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A70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AFB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742F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0E89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CC54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547A7D"/>
    <w:multiLevelType w:val="hybridMultilevel"/>
    <w:tmpl w:val="A5006F44"/>
    <w:lvl w:ilvl="0" w:tplc="F954C15A">
      <w:start w:val="1"/>
      <w:numFmt w:val="decimal"/>
      <w:lvlText w:val="(%1)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E62D5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E0D2C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87672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062A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06B7A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1AA3F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4279B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1C5DC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E72843"/>
    <w:multiLevelType w:val="hybridMultilevel"/>
    <w:tmpl w:val="BD7A7D90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1CD1133"/>
    <w:multiLevelType w:val="hybridMultilevel"/>
    <w:tmpl w:val="F8A686C2"/>
    <w:lvl w:ilvl="0" w:tplc="4DE4A620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4DD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5069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6AC0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6E65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00E7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08E4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9ED9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AA6B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6983817">
    <w:abstractNumId w:val="3"/>
  </w:num>
  <w:num w:numId="2" w16cid:durableId="1382248150">
    <w:abstractNumId w:val="6"/>
  </w:num>
  <w:num w:numId="3" w16cid:durableId="24059819">
    <w:abstractNumId w:val="9"/>
  </w:num>
  <w:num w:numId="4" w16cid:durableId="489491398">
    <w:abstractNumId w:val="11"/>
  </w:num>
  <w:num w:numId="5" w16cid:durableId="786319448">
    <w:abstractNumId w:val="8"/>
  </w:num>
  <w:num w:numId="6" w16cid:durableId="143667169">
    <w:abstractNumId w:val="0"/>
  </w:num>
  <w:num w:numId="7" w16cid:durableId="1058943063">
    <w:abstractNumId w:val="4"/>
  </w:num>
  <w:num w:numId="8" w16cid:durableId="1358000385">
    <w:abstractNumId w:val="5"/>
  </w:num>
  <w:num w:numId="9" w16cid:durableId="932132095">
    <w:abstractNumId w:val="10"/>
  </w:num>
  <w:num w:numId="10" w16cid:durableId="479687337">
    <w:abstractNumId w:val="7"/>
  </w:num>
  <w:num w:numId="11" w16cid:durableId="2121684963">
    <w:abstractNumId w:val="2"/>
  </w:num>
  <w:num w:numId="12" w16cid:durableId="1360932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01"/>
    <w:rsid w:val="0001779A"/>
    <w:rsid w:val="00023465"/>
    <w:rsid w:val="00032508"/>
    <w:rsid w:val="000601E3"/>
    <w:rsid w:val="00100A2F"/>
    <w:rsid w:val="00111E1A"/>
    <w:rsid w:val="00144D91"/>
    <w:rsid w:val="001D52D2"/>
    <w:rsid w:val="001E7F39"/>
    <w:rsid w:val="00231E25"/>
    <w:rsid w:val="0026575A"/>
    <w:rsid w:val="00287DE4"/>
    <w:rsid w:val="002D156F"/>
    <w:rsid w:val="00315A06"/>
    <w:rsid w:val="003449D2"/>
    <w:rsid w:val="00364701"/>
    <w:rsid w:val="003744B8"/>
    <w:rsid w:val="003860B4"/>
    <w:rsid w:val="00400268"/>
    <w:rsid w:val="00450C31"/>
    <w:rsid w:val="004611C6"/>
    <w:rsid w:val="004A2BC3"/>
    <w:rsid w:val="004F0A71"/>
    <w:rsid w:val="004F7BF5"/>
    <w:rsid w:val="0050587B"/>
    <w:rsid w:val="00512FB2"/>
    <w:rsid w:val="005237DA"/>
    <w:rsid w:val="00582111"/>
    <w:rsid w:val="005C74A7"/>
    <w:rsid w:val="00603C49"/>
    <w:rsid w:val="0063405B"/>
    <w:rsid w:val="0064060E"/>
    <w:rsid w:val="0066356D"/>
    <w:rsid w:val="006C4B01"/>
    <w:rsid w:val="00707FFB"/>
    <w:rsid w:val="007E2802"/>
    <w:rsid w:val="007E54C3"/>
    <w:rsid w:val="00804075"/>
    <w:rsid w:val="00810CFA"/>
    <w:rsid w:val="008820F6"/>
    <w:rsid w:val="008913C1"/>
    <w:rsid w:val="00956906"/>
    <w:rsid w:val="0098646F"/>
    <w:rsid w:val="009C7F64"/>
    <w:rsid w:val="009D3C32"/>
    <w:rsid w:val="009E6671"/>
    <w:rsid w:val="00A35AD2"/>
    <w:rsid w:val="00A47461"/>
    <w:rsid w:val="00A93418"/>
    <w:rsid w:val="00AC353A"/>
    <w:rsid w:val="00AF64E4"/>
    <w:rsid w:val="00B45721"/>
    <w:rsid w:val="00BD4672"/>
    <w:rsid w:val="00BE613F"/>
    <w:rsid w:val="00BE6275"/>
    <w:rsid w:val="00BE63B9"/>
    <w:rsid w:val="00C224B4"/>
    <w:rsid w:val="00CC594B"/>
    <w:rsid w:val="00D211E0"/>
    <w:rsid w:val="00D936B9"/>
    <w:rsid w:val="00EE7A9D"/>
    <w:rsid w:val="00F002A4"/>
    <w:rsid w:val="00F5384E"/>
    <w:rsid w:val="00F81AAB"/>
    <w:rsid w:val="00F82DB3"/>
    <w:rsid w:val="00FC75B4"/>
    <w:rsid w:val="00FE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3CD7"/>
  <w15:docId w15:val="{81BB2FBA-6E71-4B3D-A884-5994FE8F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30" w:line="248" w:lineRule="auto"/>
      <w:ind w:left="10" w:right="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8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9"/>
      <w:ind w:left="10" w:right="5" w:hanging="10"/>
      <w:jc w:val="center"/>
      <w:outlineLvl w:val="1"/>
    </w:pPr>
    <w:rPr>
      <w:rFonts w:ascii="Calibri" w:eastAsia="Calibri" w:hAnsi="Calibri" w:cs="Calibri"/>
      <w:b/>
      <w:color w:val="80808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18"/>
      <w:ind w:left="10" w:right="5" w:hanging="10"/>
      <w:jc w:val="center"/>
      <w:outlineLvl w:val="2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808080"/>
      <w:sz w:val="22"/>
    </w:rPr>
  </w:style>
  <w:style w:type="paragraph" w:customStyle="1" w:styleId="footnotedescription">
    <w:name w:val="footnote description"/>
    <w:next w:val="Normln"/>
    <w:link w:val="footnotedescriptionChar"/>
    <w:hidden/>
    <w:pPr>
      <w:spacing w:after="9" w:line="253" w:lineRule="auto"/>
      <w:jc w:val="both"/>
    </w:pPr>
    <w:rPr>
      <w:rFonts w:ascii="Calibri" w:eastAsia="Calibri" w:hAnsi="Calibri" w:cs="Calibri"/>
      <w:i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8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Revize">
    <w:name w:val="Revision"/>
    <w:hidden/>
    <w:uiPriority w:val="99"/>
    <w:semiHidden/>
    <w:rsid w:val="003744B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0177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77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779A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7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79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64701"/>
    <w:pPr>
      <w:ind w:left="720"/>
      <w:contextualSpacing/>
    </w:pPr>
  </w:style>
  <w:style w:type="character" w:customStyle="1" w:styleId="cf01">
    <w:name w:val="cf01"/>
    <w:basedOn w:val="Standardnpsmoodstavce"/>
    <w:rsid w:val="00FC75B4"/>
    <w:rPr>
      <w:rFonts w:ascii="Segoe UI" w:hAnsi="Segoe UI" w:cs="Segoe UI" w:hint="default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93418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kern w:val="0"/>
      <w:lang w:eastAsia="en-US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A93418"/>
    <w:rPr>
      <w:rFonts w:eastAsiaTheme="minorHAnsi"/>
      <w:kern w:val="0"/>
      <w:lang w:eastAsia="en-US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3418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kern w:val="0"/>
      <w:lang w:eastAsia="en-US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A93418"/>
    <w:rPr>
      <w:rFonts w:eastAsiaTheme="minorHAnsi"/>
      <w:kern w:val="0"/>
      <w:lang w:eastAsia="en-US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02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02A4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02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E1AC-457E-45CE-8F6A-54BC65F7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1676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Iveta.Ptacnikova@msmt.cz</dc:creator>
  <cp:keywords/>
  <cp:lastModifiedBy>Vojtěch Fikar</cp:lastModifiedBy>
  <cp:revision>2</cp:revision>
  <dcterms:created xsi:type="dcterms:W3CDTF">2024-06-11T14:40:00Z</dcterms:created>
  <dcterms:modified xsi:type="dcterms:W3CDTF">2024-06-11T14:40:00Z</dcterms:modified>
</cp:coreProperties>
</file>